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DBD5">
      <w:pPr>
        <w:spacing w:line="360" w:lineRule="auto"/>
        <w:ind w:left="-1" w:leftChars="-67" w:hanging="140" w:hangingChars="50"/>
        <w:rPr>
          <w:rFonts w:hint="eastAsia" w:ascii="微软雅黑" w:hAnsi="微软雅黑" w:eastAsia="微软雅黑"/>
          <w:b/>
          <w:sz w:val="28"/>
          <w:szCs w:val="28"/>
          <w:lang w:val="en-US" w:eastAsia="zh-CN"/>
        </w:rPr>
      </w:pPr>
      <w:r>
        <w:rPr>
          <w:rFonts w:hint="eastAsia" w:ascii="微软雅黑" w:hAnsi="微软雅黑" w:eastAsia="微软雅黑"/>
          <w:b/>
          <w:sz w:val="28"/>
          <w:szCs w:val="28"/>
          <w:lang w:val="en-US" w:eastAsia="zh-CN"/>
        </w:rPr>
        <w:t>附件1：</w:t>
      </w:r>
    </w:p>
    <w:p w14:paraId="31A4A0B6">
      <w:pPr>
        <w:spacing w:line="360" w:lineRule="auto"/>
        <w:ind w:left="19" w:leftChars="-67" w:hanging="160" w:hangingChars="50"/>
        <w:jc w:val="center"/>
        <w:rPr>
          <w:rFonts w:hint="eastAsia" w:ascii="微软雅黑" w:hAnsi="微软雅黑" w:eastAsia="微软雅黑"/>
          <w:b/>
          <w:sz w:val="32"/>
          <w:szCs w:val="32"/>
          <w:lang w:val="en-US" w:eastAsia="zh-CN"/>
        </w:rPr>
      </w:pPr>
      <w:bookmarkStart w:id="0" w:name="_GoBack"/>
      <w:r>
        <w:rPr>
          <w:rFonts w:hint="eastAsia" w:ascii="微软雅黑" w:hAnsi="微软雅黑" w:eastAsia="微软雅黑"/>
          <w:b/>
          <w:sz w:val="32"/>
          <w:szCs w:val="32"/>
          <w:lang w:val="en-US" w:eastAsia="zh-CN"/>
        </w:rPr>
        <w:t>2026年广东省人民医院重大疫情医疗应急队伍演练活动</w:t>
      </w:r>
    </w:p>
    <w:p w14:paraId="35F356AD">
      <w:pPr>
        <w:spacing w:line="360" w:lineRule="auto"/>
        <w:ind w:left="19" w:leftChars="-67" w:hanging="160" w:hangingChars="50"/>
        <w:jc w:val="center"/>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会务服务采购项目需求</w:t>
      </w:r>
    </w:p>
    <w:bookmarkEnd w:id="0"/>
    <w:p w14:paraId="4D9F3B29">
      <w:pPr>
        <w:pStyle w:val="2"/>
        <w:rPr>
          <w:rFonts w:hint="eastAsia"/>
          <w:lang w:val="en-US" w:eastAsia="zh-CN"/>
        </w:rPr>
      </w:pPr>
    </w:p>
    <w:p w14:paraId="683F691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项目情况概述</w:t>
      </w:r>
    </w:p>
    <w:p w14:paraId="233F36C4">
      <w:pPr>
        <w:numPr>
          <w:ilvl w:val="0"/>
          <w:numId w:val="0"/>
        </w:numPr>
        <w:spacing w:line="360" w:lineRule="auto"/>
        <w:ind w:firstLine="560" w:firstLineChars="200"/>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为提升我院重大疫情医疗应急队伍的实战处置能力，拟对“2026年广东省重大疫情医疗应急队伍演练活动”的策划及执行服务供应商进行公开遴选。</w:t>
      </w:r>
    </w:p>
    <w:p w14:paraId="3F92912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二、项</w:t>
      </w:r>
      <w:r>
        <w:rPr>
          <w:rFonts w:hint="eastAsia" w:ascii="黑体" w:hAnsi="黑体" w:eastAsia="黑体" w:cs="黑体"/>
          <w:b w:val="0"/>
          <w:bCs/>
          <w:sz w:val="28"/>
          <w:szCs w:val="28"/>
        </w:rPr>
        <w:t>目要求</w:t>
      </w:r>
    </w:p>
    <w:p w14:paraId="1494B05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我院重大疫情医疗应急队伍人员进行演练培训。为确保医院重大疫情应急队伍演练活动的顺利开展，选择专业、优质、高效的会务活动公司提供服务，包括演练活动的策划、组织、实施、现场保障等，提升演练活动的质量和效果。具体要求如下：</w:t>
      </w:r>
    </w:p>
    <w:p w14:paraId="7AE694DE">
      <w:pPr>
        <w:numPr>
          <w:ilvl w:val="0"/>
          <w:numId w:val="1"/>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演练内容</w:t>
      </w:r>
    </w:p>
    <w:p w14:paraId="5FCF2D8A">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广东省人民医院医务处拟于2026年6月—11月期间在广州市内举办广东省人民医院重大疫情医疗应急队伍演练活动。</w:t>
      </w:r>
      <w:r>
        <w:rPr>
          <w:rFonts w:hint="eastAsia" w:ascii="仿宋" w:hAnsi="仿宋" w:eastAsia="仿宋" w:cs="仿宋"/>
          <w:b w:val="0"/>
          <w:bCs w:val="0"/>
          <w:sz w:val="28"/>
          <w:szCs w:val="28"/>
          <w:highlight w:val="none"/>
          <w:shd w:val="clear"/>
          <w:lang w:val="en-US" w:eastAsia="zh-CN"/>
        </w:rPr>
        <w:t>共举办两期演练，两期时间总计不超过2天（两期可分别选择不同场地）。活动采用当日往返形式，不统一安排住宿，但根据实际需要，将包含部分工作人员的食宿。</w:t>
      </w:r>
      <w:r>
        <w:rPr>
          <w:rFonts w:hint="eastAsia" w:ascii="仿宋" w:hAnsi="仿宋" w:eastAsia="仿宋" w:cs="仿宋"/>
          <w:b w:val="0"/>
          <w:bCs w:val="0"/>
          <w:sz w:val="28"/>
          <w:szCs w:val="28"/>
          <w:lang w:val="en-US" w:eastAsia="zh-CN"/>
        </w:rPr>
        <w:t>两期活动的全部内容分为四个模块：理论培训、桌面推演、实战演练与总结，具体安排如下：</w:t>
      </w:r>
    </w:p>
    <w:p w14:paraId="3739643F">
      <w:pPr>
        <w:numPr>
          <w:numId w:val="0"/>
        </w:num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w:t>
      </w:r>
      <w:r>
        <w:rPr>
          <w:rFonts w:hint="default" w:ascii="仿宋" w:hAnsi="仿宋" w:eastAsia="仿宋" w:cs="仿宋"/>
          <w:b/>
          <w:bCs/>
          <w:sz w:val="28"/>
          <w:szCs w:val="28"/>
          <w:lang w:val="en-US" w:eastAsia="zh-CN"/>
        </w:rPr>
        <w:t>理论培训课程：</w:t>
      </w:r>
      <w:r>
        <w:rPr>
          <w:rFonts w:hint="default" w:ascii="仿宋" w:hAnsi="仿宋" w:eastAsia="仿宋" w:cs="仿宋"/>
          <w:sz w:val="28"/>
          <w:szCs w:val="28"/>
          <w:lang w:val="en-US" w:eastAsia="zh-CN"/>
        </w:rPr>
        <w:t>包括</w:t>
      </w:r>
      <w:r>
        <w:rPr>
          <w:rFonts w:hint="eastAsia" w:ascii="仿宋" w:hAnsi="仿宋" w:eastAsia="仿宋" w:cs="仿宋"/>
          <w:sz w:val="28"/>
          <w:szCs w:val="28"/>
          <w:lang w:val="en-US" w:eastAsia="zh-CN"/>
        </w:rPr>
        <w:t>演练相关传染病疫情的防控标准、处理流程、院感防</w:t>
      </w:r>
      <w:r>
        <w:rPr>
          <w:rFonts w:hint="eastAsia" w:ascii="仿宋" w:hAnsi="仿宋" w:eastAsia="仿宋" w:cs="仿宋"/>
          <w:sz w:val="28"/>
          <w:szCs w:val="28"/>
          <w:highlight w:val="none"/>
          <w:lang w:val="en-US" w:eastAsia="zh-CN"/>
        </w:rPr>
        <w:t>控、检伤分类、病例转运</w:t>
      </w:r>
      <w:r>
        <w:rPr>
          <w:rFonts w:hint="default" w:ascii="仿宋" w:hAnsi="仿宋" w:eastAsia="仿宋" w:cs="仿宋"/>
          <w:sz w:val="28"/>
          <w:szCs w:val="28"/>
          <w:lang w:val="en-US" w:eastAsia="zh-CN"/>
        </w:rPr>
        <w:t>等。</w:t>
      </w:r>
    </w:p>
    <w:p w14:paraId="3F20F8EF">
      <w:pPr>
        <w:numPr>
          <w:numId w:val="0"/>
        </w:num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default" w:ascii="仿宋" w:hAnsi="仿宋" w:eastAsia="仿宋" w:cs="仿宋"/>
          <w:b/>
          <w:bCs/>
          <w:sz w:val="28"/>
          <w:szCs w:val="28"/>
          <w:lang w:val="en-US" w:eastAsia="zh-CN"/>
        </w:rPr>
        <w:t>实操演练科目：</w:t>
      </w:r>
      <w:r>
        <w:rPr>
          <w:rFonts w:hint="default" w:ascii="仿宋" w:hAnsi="仿宋" w:eastAsia="仿宋" w:cs="仿宋"/>
          <w:sz w:val="28"/>
          <w:szCs w:val="28"/>
          <w:lang w:val="en-US" w:eastAsia="zh-CN"/>
        </w:rPr>
        <w:t>设置</w:t>
      </w:r>
      <w:r>
        <w:rPr>
          <w:rFonts w:hint="eastAsia" w:ascii="仿宋" w:hAnsi="仿宋" w:eastAsia="仿宋" w:cs="仿宋"/>
          <w:sz w:val="28"/>
          <w:szCs w:val="28"/>
          <w:highlight w:val="none"/>
          <w:lang w:val="en-US" w:eastAsia="zh-CN"/>
        </w:rPr>
        <w:t>医疗救治</w:t>
      </w:r>
      <w:r>
        <w:rPr>
          <w:rFonts w:hint="default" w:ascii="仿宋" w:hAnsi="仿宋" w:eastAsia="仿宋" w:cs="仿宋"/>
          <w:sz w:val="28"/>
          <w:szCs w:val="28"/>
          <w:highlight w:val="none"/>
          <w:lang w:val="en-US" w:eastAsia="zh-CN"/>
        </w:rPr>
        <w:t>科目（涵盖</w:t>
      </w:r>
      <w:r>
        <w:rPr>
          <w:rFonts w:hint="eastAsia" w:ascii="仿宋" w:hAnsi="仿宋" w:eastAsia="仿宋" w:cs="仿宋"/>
          <w:sz w:val="28"/>
          <w:szCs w:val="28"/>
          <w:highlight w:val="none"/>
          <w:lang w:val="en-US" w:eastAsia="zh-CN"/>
        </w:rPr>
        <w:t>救治相关情景布置、背景物料等</w:t>
      </w:r>
      <w:r>
        <w:rPr>
          <w:rFonts w:hint="default" w:ascii="仿宋" w:hAnsi="仿宋" w:eastAsia="仿宋" w:cs="仿宋"/>
          <w:sz w:val="28"/>
          <w:szCs w:val="28"/>
          <w:highlight w:val="none"/>
          <w:lang w:val="en-US" w:eastAsia="zh-CN"/>
        </w:rPr>
        <w:t>）；疫情接报响应、流</w:t>
      </w:r>
      <w:r>
        <w:rPr>
          <w:rFonts w:hint="default" w:ascii="仿宋" w:hAnsi="仿宋" w:eastAsia="仿宋" w:cs="仿宋"/>
          <w:sz w:val="28"/>
          <w:szCs w:val="28"/>
          <w:lang w:val="en-US" w:eastAsia="zh-CN"/>
        </w:rPr>
        <w:t>调及现场处置；消杀和现场医疗物资调度。</w:t>
      </w:r>
    </w:p>
    <w:p w14:paraId="777B93EF">
      <w:pPr>
        <w:numPr>
          <w:ilvl w:val="0"/>
          <w:numId w:val="0"/>
        </w:numPr>
        <w:spacing w:line="360" w:lineRule="auto"/>
        <w:ind w:firstLine="562" w:firstLineChars="200"/>
        <w:rPr>
          <w:rFonts w:ascii="Segoe UI" w:hAnsi="Segoe UI" w:eastAsia="Segoe UI" w:cs="Segoe UI"/>
          <w:i w:val="0"/>
          <w:iCs w:val="0"/>
          <w:caps w:val="0"/>
          <w:color w:val="0F1115"/>
          <w:spacing w:val="0"/>
          <w:sz w:val="16"/>
          <w:szCs w:val="16"/>
          <w:shd w:val="clear" w:fill="FFFFFF"/>
        </w:rPr>
      </w:pPr>
      <w:r>
        <w:rPr>
          <w:rFonts w:hint="eastAsia" w:ascii="仿宋" w:hAnsi="仿宋" w:eastAsia="仿宋" w:cs="仿宋"/>
          <w:b/>
          <w:bCs/>
          <w:sz w:val="28"/>
          <w:szCs w:val="28"/>
          <w:lang w:val="en-US" w:eastAsia="zh-CN"/>
        </w:rPr>
        <w:t>3.</w:t>
      </w:r>
      <w:r>
        <w:rPr>
          <w:rFonts w:hint="default" w:ascii="仿宋" w:hAnsi="仿宋" w:eastAsia="仿宋" w:cs="仿宋"/>
          <w:b/>
          <w:bCs/>
          <w:sz w:val="28"/>
          <w:szCs w:val="28"/>
          <w:lang w:val="en-US" w:eastAsia="zh-CN"/>
        </w:rPr>
        <w:t>桌面推演和总结模式：</w:t>
      </w:r>
      <w:r>
        <w:rPr>
          <w:rFonts w:hint="default" w:ascii="仿宋" w:hAnsi="仿宋" w:eastAsia="仿宋" w:cs="仿宋"/>
          <w:sz w:val="28"/>
          <w:szCs w:val="28"/>
          <w:lang w:val="en-US" w:eastAsia="zh-CN"/>
        </w:rPr>
        <w:t>设定</w:t>
      </w:r>
      <w:r>
        <w:rPr>
          <w:rFonts w:hint="eastAsia" w:ascii="仿宋" w:hAnsi="仿宋" w:eastAsia="仿宋" w:cs="仿宋"/>
          <w:sz w:val="28"/>
          <w:szCs w:val="28"/>
          <w:lang w:val="en-US" w:eastAsia="zh-CN"/>
        </w:rPr>
        <w:t>呼吸道传染病疫情、虫媒传染病疫情或新发传染病疫情</w:t>
      </w:r>
      <w:r>
        <w:rPr>
          <w:rFonts w:hint="default" w:ascii="仿宋" w:hAnsi="仿宋" w:eastAsia="仿宋" w:cs="仿宋"/>
          <w:sz w:val="28"/>
          <w:szCs w:val="28"/>
          <w:lang w:val="en-US" w:eastAsia="zh-CN"/>
        </w:rPr>
        <w:t>桌面推演（多组协作复盘及点评），并形成救援优化流程。</w:t>
      </w:r>
    </w:p>
    <w:p w14:paraId="44749538">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（二）会务公司要求</w:t>
      </w:r>
    </w:p>
    <w:p w14:paraId="14F555A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1.</w:t>
      </w:r>
      <w:r>
        <w:rPr>
          <w:rFonts w:hint="eastAsia" w:ascii="仿宋" w:hAnsi="仿宋" w:eastAsia="仿宋" w:cs="仿宋"/>
          <w:b/>
          <w:bCs/>
          <w:sz w:val="28"/>
          <w:szCs w:val="36"/>
        </w:rPr>
        <w:t>资质要求​</w:t>
      </w:r>
    </w:p>
    <w:p w14:paraId="1962B5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具有独立法人资格，持有有效的营业执照、税务登记证、组织机构代码证（或三证合一的营业执照）。​</w:t>
      </w:r>
    </w:p>
    <w:p w14:paraId="0D6296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具有良好的商业信誉和健全的财务会计制度，无违法违规经营记录，近三年内未被列入失信被执行人名单、重大税收违法案件当事人名单、政府采购严重违法失信行为记录名单。​</w:t>
      </w:r>
    </w:p>
    <w:p w14:paraId="31F61CE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2.经验要求​</w:t>
      </w:r>
    </w:p>
    <w:p w14:paraId="49AF3030">
      <w:pPr>
        <w:numPr>
          <w:ilvl w:val="0"/>
          <w:numId w:val="0"/>
        </w:numPr>
        <w:spacing w:line="360" w:lineRule="auto"/>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自2023年1月1日起，</w:t>
      </w:r>
      <w:r>
        <w:rPr>
          <w:rFonts w:hint="eastAsia" w:ascii="仿宋" w:hAnsi="仿宋" w:eastAsia="仿宋" w:cs="仿宋"/>
          <w:sz w:val="28"/>
          <w:szCs w:val="36"/>
        </w:rPr>
        <w:t>具有类似</w:t>
      </w:r>
      <w:r>
        <w:rPr>
          <w:rFonts w:hint="eastAsia" w:ascii="仿宋" w:hAnsi="仿宋" w:eastAsia="仿宋" w:cs="仿宋"/>
          <w:sz w:val="28"/>
          <w:szCs w:val="36"/>
          <w:lang w:val="en-US" w:eastAsia="zh-CN"/>
        </w:rPr>
        <w:t>应急演练</w:t>
      </w:r>
      <w:r>
        <w:rPr>
          <w:rFonts w:hint="eastAsia" w:ascii="仿宋" w:hAnsi="仿宋" w:eastAsia="仿宋" w:cs="仿宋"/>
          <w:sz w:val="28"/>
          <w:szCs w:val="36"/>
        </w:rPr>
        <w:t>活动（如</w:t>
      </w:r>
      <w:r>
        <w:rPr>
          <w:rFonts w:hint="eastAsia" w:ascii="仿宋" w:hAnsi="仿宋" w:eastAsia="仿宋" w:cs="仿宋"/>
          <w:sz w:val="28"/>
          <w:szCs w:val="36"/>
          <w:lang w:val="en-US" w:eastAsia="zh-CN"/>
        </w:rPr>
        <w:t>医疗</w:t>
      </w:r>
      <w:r>
        <w:rPr>
          <w:rFonts w:hint="eastAsia" w:ascii="仿宋" w:hAnsi="仿宋" w:eastAsia="仿宋" w:cs="仿宋"/>
          <w:sz w:val="28"/>
          <w:szCs w:val="36"/>
        </w:rPr>
        <w:t>应急演练</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传染病疫情等医疗相关应急演练</w:t>
      </w:r>
      <w:r>
        <w:rPr>
          <w:rFonts w:hint="eastAsia" w:ascii="仿宋" w:hAnsi="仿宋" w:eastAsia="仿宋" w:cs="仿宋"/>
          <w:sz w:val="28"/>
          <w:szCs w:val="36"/>
        </w:rPr>
        <w:t>活动等）的策划和组织经验，能够提供相关的合同复印件、</w:t>
      </w:r>
      <w:r>
        <w:rPr>
          <w:rFonts w:hint="eastAsia" w:ascii="仿宋" w:hAnsi="仿宋" w:eastAsia="仿宋" w:cs="仿宋"/>
          <w:sz w:val="28"/>
          <w:szCs w:val="36"/>
          <w:lang w:val="en-US" w:eastAsia="zh-CN"/>
        </w:rPr>
        <w:t>现场</w:t>
      </w:r>
      <w:r>
        <w:rPr>
          <w:rFonts w:hint="eastAsia" w:ascii="仿宋" w:hAnsi="仿宋" w:eastAsia="仿宋" w:cs="仿宋"/>
          <w:sz w:val="28"/>
          <w:szCs w:val="36"/>
        </w:rPr>
        <w:t>照片、客户评价等证明材料。​</w:t>
      </w:r>
    </w:p>
    <w:p w14:paraId="3446BB9F">
      <w:pPr>
        <w:numPr>
          <w:ilvl w:val="0"/>
          <w:numId w:val="0"/>
        </w:numPr>
        <w:spacing w:line="360" w:lineRule="auto"/>
        <w:ind w:firstLine="560" w:firstLineChars="200"/>
        <w:rPr>
          <w:rFonts w:hint="eastAsia" w:ascii="仿宋" w:hAnsi="仿宋" w:eastAsia="仿宋" w:cs="仿宋"/>
          <w:sz w:val="28"/>
          <w:szCs w:val="36"/>
          <w:highlight w:val="none"/>
        </w:rPr>
      </w:pPr>
      <w:r>
        <w:rPr>
          <w:rFonts w:hint="eastAsia" w:ascii="仿宋" w:hAnsi="仿宋" w:eastAsia="仿宋" w:cs="仿宋"/>
          <w:sz w:val="28"/>
          <w:szCs w:val="36"/>
        </w:rPr>
        <w:t>熟悉医疗行业的特点和需求，了解重大疫情应急处置的相关知识和流程，能够根据医院的要求制定合理的演练活动方案</w:t>
      </w:r>
      <w:r>
        <w:rPr>
          <w:rFonts w:hint="eastAsia" w:ascii="仿宋" w:hAnsi="仿宋" w:eastAsia="仿宋" w:cs="仿宋"/>
          <w:sz w:val="28"/>
          <w:szCs w:val="36"/>
          <w:lang w:eastAsia="zh-CN"/>
        </w:rPr>
        <w:t>；</w:t>
      </w:r>
      <w:r>
        <w:rPr>
          <w:rFonts w:hint="default" w:ascii="仿宋" w:hAnsi="仿宋" w:eastAsia="仿宋" w:cs="仿宋"/>
          <w:sz w:val="28"/>
          <w:szCs w:val="28"/>
          <w:highlight w:val="none"/>
          <w:lang w:val="en-US" w:eastAsia="zh-CN"/>
        </w:rPr>
        <w:t>具备脚本策划、多机位视频拍摄与后期制作能力。</w:t>
      </w:r>
    </w:p>
    <w:p w14:paraId="2AC10F3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lang w:val="en-US" w:eastAsia="zh-CN"/>
        </w:rPr>
        <w:t>3.</w:t>
      </w:r>
      <w:r>
        <w:rPr>
          <w:rFonts w:hint="eastAsia" w:ascii="仿宋" w:hAnsi="仿宋" w:eastAsia="仿宋" w:cs="仿宋"/>
          <w:b/>
          <w:bCs/>
          <w:sz w:val="28"/>
          <w:szCs w:val="36"/>
        </w:rPr>
        <w:t>服务团队要求</w:t>
      </w:r>
      <w:r>
        <w:rPr>
          <w:rFonts w:hint="eastAsia" w:ascii="仿宋" w:hAnsi="仿宋" w:eastAsia="仿宋" w:cs="仿宋"/>
          <w:sz w:val="28"/>
          <w:szCs w:val="36"/>
        </w:rPr>
        <w:t>​</w:t>
      </w:r>
    </w:p>
    <w:p w14:paraId="0BEBC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拥有专业的服务团队，团队成员具备丰富的会务活动策划、组织、实施经验，能够熟练掌握会务活动的各个环节和流程。​</w:t>
      </w:r>
    </w:p>
    <w:p w14:paraId="19221DE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配备专门的项目负责人</w:t>
      </w:r>
      <w:r>
        <w:rPr>
          <w:rFonts w:hint="eastAsia" w:ascii="仿宋" w:hAnsi="仿宋" w:eastAsia="仿宋" w:cs="仿宋"/>
          <w:b/>
          <w:bCs/>
          <w:sz w:val="28"/>
          <w:szCs w:val="36"/>
          <w:lang w:eastAsia="zh-CN"/>
        </w:rPr>
        <w:t>：</w:t>
      </w:r>
      <w:r>
        <w:rPr>
          <w:rFonts w:hint="eastAsia" w:ascii="仿宋" w:hAnsi="仿宋" w:eastAsia="仿宋" w:cs="仿宋"/>
          <w:sz w:val="28"/>
          <w:szCs w:val="36"/>
        </w:rPr>
        <w:t>供应商为本项目成立专人对接服务工作小组，配备项目负责人和服务团队，具有较高的沟通协调和策划执行能力，按照项目实际需求及时响应，做到热情周到，提供优质服务。</w:t>
      </w:r>
    </w:p>
    <w:p w14:paraId="292D8D3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sz w:val="28"/>
          <w:szCs w:val="36"/>
        </w:rPr>
      </w:pPr>
      <w:r>
        <w:rPr>
          <w:rFonts w:hint="default" w:ascii="仿宋" w:hAnsi="仿宋" w:eastAsia="仿宋" w:cs="仿宋"/>
          <w:b/>
          <w:bCs/>
          <w:sz w:val="28"/>
          <w:szCs w:val="36"/>
        </w:rPr>
        <w:t>拓展培训执行细节：</w:t>
      </w:r>
      <w:r>
        <w:rPr>
          <w:rFonts w:hint="default" w:ascii="仿宋" w:hAnsi="仿宋" w:eastAsia="仿宋" w:cs="仿宋"/>
          <w:sz w:val="28"/>
          <w:szCs w:val="36"/>
        </w:rPr>
        <w:t>现场至少配备2名专业工作人员，全程跟进签到、会场秩序维护、物料分发及相关协调工作。</w:t>
      </w:r>
    </w:p>
    <w:p w14:paraId="0B4673A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default" w:ascii="仿宋" w:hAnsi="仿宋" w:eastAsia="仿宋" w:cs="仿宋"/>
          <w:b/>
          <w:bCs/>
          <w:sz w:val="28"/>
          <w:szCs w:val="36"/>
        </w:rPr>
        <w:t>车辆运输保障</w:t>
      </w:r>
      <w:r>
        <w:rPr>
          <w:rFonts w:hint="eastAsia" w:ascii="仿宋" w:hAnsi="仿宋" w:eastAsia="仿宋" w:cs="仿宋"/>
          <w:b/>
          <w:bCs/>
          <w:sz w:val="28"/>
          <w:szCs w:val="36"/>
          <w:lang w:val="en-US" w:eastAsia="zh-CN"/>
        </w:rPr>
        <w:t>服务</w:t>
      </w:r>
      <w:r>
        <w:rPr>
          <w:rFonts w:hint="default" w:ascii="仿宋" w:hAnsi="仿宋" w:eastAsia="仿宋" w:cs="仿宋"/>
          <w:b/>
          <w:bCs/>
          <w:sz w:val="28"/>
          <w:szCs w:val="36"/>
        </w:rPr>
        <w:t>：</w:t>
      </w:r>
      <w:r>
        <w:rPr>
          <w:rFonts w:hint="eastAsia" w:ascii="仿宋" w:hAnsi="仿宋" w:eastAsia="仿宋" w:cs="仿宋"/>
          <w:b w:val="0"/>
          <w:bCs w:val="0"/>
          <w:sz w:val="28"/>
          <w:szCs w:val="36"/>
          <w:lang w:val="en-US" w:eastAsia="zh-CN"/>
        </w:rPr>
        <w:t>每期</w:t>
      </w:r>
      <w:r>
        <w:rPr>
          <w:rFonts w:hint="default" w:ascii="仿宋" w:hAnsi="仿宋" w:eastAsia="仿宋" w:cs="仿宋"/>
          <w:b w:val="0"/>
          <w:bCs w:val="0"/>
          <w:sz w:val="28"/>
          <w:szCs w:val="36"/>
        </w:rPr>
        <w:t>需提供不少于1辆大巴（</w:t>
      </w:r>
      <w:r>
        <w:rPr>
          <w:rFonts w:hint="eastAsia" w:ascii="仿宋" w:hAnsi="仿宋" w:eastAsia="仿宋" w:cs="仿宋"/>
          <w:b w:val="0"/>
          <w:bCs w:val="0"/>
          <w:sz w:val="28"/>
          <w:szCs w:val="36"/>
          <w:lang w:val="en-US" w:eastAsia="zh-CN"/>
        </w:rPr>
        <w:t>在广东省人民医院</w:t>
      </w:r>
      <w:r>
        <w:rPr>
          <w:rFonts w:hint="default" w:ascii="仿宋" w:hAnsi="仿宋" w:eastAsia="仿宋" w:cs="仿宋"/>
          <w:b w:val="0"/>
          <w:bCs w:val="0"/>
          <w:sz w:val="28"/>
          <w:szCs w:val="36"/>
        </w:rPr>
        <w:t>统一集合接送）。</w:t>
      </w:r>
    </w:p>
    <w:p w14:paraId="3D7EC5C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default" w:ascii="仿宋" w:hAnsi="仿宋" w:eastAsia="仿宋" w:cs="仿宋"/>
          <w:b/>
          <w:bCs/>
          <w:sz w:val="28"/>
          <w:szCs w:val="36"/>
        </w:rPr>
        <w:t>影像记录：</w:t>
      </w:r>
      <w:r>
        <w:rPr>
          <w:rFonts w:hint="default" w:ascii="仿宋" w:hAnsi="仿宋" w:eastAsia="仿宋" w:cs="仿宋"/>
          <w:sz w:val="28"/>
          <w:szCs w:val="36"/>
        </w:rPr>
        <w:t>提供全过程高清摄像及摄影</w:t>
      </w:r>
      <w:r>
        <w:rPr>
          <w:rFonts w:hint="eastAsia" w:ascii="仿宋" w:hAnsi="仿宋" w:eastAsia="仿宋" w:cs="仿宋"/>
          <w:sz w:val="28"/>
          <w:szCs w:val="36"/>
          <w:lang w:val="en-US" w:eastAsia="zh-CN"/>
        </w:rPr>
        <w:t>服务</w:t>
      </w:r>
      <w:r>
        <w:rPr>
          <w:rFonts w:hint="default" w:ascii="仿宋" w:hAnsi="仿宋" w:eastAsia="仿宋" w:cs="仿宋"/>
          <w:sz w:val="28"/>
          <w:szCs w:val="36"/>
        </w:rPr>
        <w:t>，活动结束后</w:t>
      </w:r>
      <w:r>
        <w:rPr>
          <w:rFonts w:hint="eastAsia" w:ascii="仿宋" w:hAnsi="仿宋" w:eastAsia="仿宋" w:cs="仿宋"/>
          <w:sz w:val="28"/>
          <w:szCs w:val="36"/>
          <w:lang w:val="en-US" w:eastAsia="zh-CN"/>
        </w:rPr>
        <w:t>10</w:t>
      </w:r>
      <w:r>
        <w:rPr>
          <w:rFonts w:hint="default" w:ascii="仿宋" w:hAnsi="仿宋" w:eastAsia="仿宋" w:cs="仿宋"/>
          <w:sz w:val="28"/>
          <w:szCs w:val="36"/>
        </w:rPr>
        <w:t>个工作日内交付</w:t>
      </w:r>
      <w:r>
        <w:rPr>
          <w:rFonts w:hint="eastAsia" w:ascii="仿宋" w:hAnsi="仿宋" w:eastAsia="仿宋" w:cs="仿宋"/>
          <w:sz w:val="28"/>
          <w:szCs w:val="36"/>
          <w:lang w:val="en-US" w:eastAsia="zh-CN"/>
        </w:rPr>
        <w:t>剪辑好的</w:t>
      </w:r>
      <w:r>
        <w:rPr>
          <w:rFonts w:hint="default" w:ascii="仿宋" w:hAnsi="仿宋" w:eastAsia="仿宋" w:cs="仿宋"/>
          <w:sz w:val="28"/>
          <w:szCs w:val="36"/>
        </w:rPr>
        <w:t>活动总结视频短片（</w:t>
      </w:r>
      <w:r>
        <w:rPr>
          <w:rFonts w:hint="eastAsia" w:ascii="仿宋" w:hAnsi="仿宋" w:eastAsia="仿宋" w:cs="仿宋"/>
          <w:sz w:val="28"/>
          <w:szCs w:val="36"/>
          <w:lang w:val="en-US" w:eastAsia="zh-CN"/>
        </w:rPr>
        <w:t>3-5</w:t>
      </w:r>
      <w:r>
        <w:rPr>
          <w:rFonts w:hint="default" w:ascii="仿宋" w:hAnsi="仿宋" w:eastAsia="仿宋" w:cs="仿宋"/>
          <w:sz w:val="28"/>
          <w:szCs w:val="36"/>
        </w:rPr>
        <w:t>分钟）</w:t>
      </w:r>
      <w:r>
        <w:rPr>
          <w:rFonts w:hint="eastAsia" w:ascii="仿宋" w:hAnsi="仿宋" w:eastAsia="仿宋" w:cs="仿宋"/>
          <w:sz w:val="28"/>
          <w:szCs w:val="36"/>
          <w:lang w:val="en-US" w:eastAsia="zh-CN"/>
        </w:rPr>
        <w:t>以及相关演练活动照片（精修）</w:t>
      </w:r>
      <w:r>
        <w:rPr>
          <w:rFonts w:hint="default" w:ascii="仿宋" w:hAnsi="仿宋" w:eastAsia="仿宋" w:cs="仿宋"/>
          <w:sz w:val="28"/>
          <w:szCs w:val="36"/>
        </w:rPr>
        <w:t>。</w:t>
      </w:r>
    </w:p>
    <w:p w14:paraId="179EB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服务团队成员具有良好的服务意识和沟通能力，能够耐心、细致地为医院提供服务，满足医院的合理需求。​</w:t>
      </w:r>
    </w:p>
    <w:p w14:paraId="58EB3A1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4.</w:t>
      </w:r>
      <w:r>
        <w:rPr>
          <w:rFonts w:hint="eastAsia" w:ascii="仿宋" w:hAnsi="仿宋" w:eastAsia="仿宋" w:cs="仿宋"/>
          <w:b/>
          <w:bCs/>
          <w:sz w:val="28"/>
          <w:szCs w:val="36"/>
        </w:rPr>
        <w:t>设备和资源要求​</w:t>
      </w:r>
    </w:p>
    <w:p w14:paraId="15D5C0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bCs/>
          <w:sz w:val="28"/>
          <w:szCs w:val="36"/>
        </w:rPr>
      </w:pPr>
      <w:r>
        <w:rPr>
          <w:rFonts w:hint="eastAsia" w:ascii="仿宋" w:hAnsi="仿宋" w:eastAsia="仿宋" w:cs="仿宋"/>
          <w:sz w:val="28"/>
          <w:szCs w:val="36"/>
        </w:rPr>
        <w:t>与相关的供应商（如酒店、餐饮公司、运输公司等）建立良好的合作关系，能够为演练活动提供优质的住宿、餐饮、交通等配套服务。</w:t>
      </w:r>
      <w:r>
        <w:rPr>
          <w:rFonts w:hint="eastAsia" w:ascii="仿宋" w:hAnsi="仿宋" w:eastAsia="仿宋" w:cs="仿宋"/>
          <w:sz w:val="28"/>
          <w:szCs w:val="36"/>
          <w:lang w:val="en-US" w:eastAsia="zh-CN"/>
        </w:rPr>
        <w:t>下列费用包含在报价内。</w:t>
      </w:r>
    </w:p>
    <w:p w14:paraId="3C3F3F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演练场地</w:t>
      </w:r>
      <w:r>
        <w:rPr>
          <w:rFonts w:hint="eastAsia" w:ascii="仿宋" w:hAnsi="仿宋" w:eastAsia="仿宋" w:cs="仿宋"/>
          <w:b/>
          <w:bCs/>
          <w:sz w:val="28"/>
          <w:szCs w:val="36"/>
          <w:lang w:val="en-US" w:eastAsia="zh-CN"/>
        </w:rPr>
        <w:t>及专家费用</w:t>
      </w:r>
      <w:r>
        <w:rPr>
          <w:rFonts w:hint="eastAsia" w:ascii="仿宋" w:hAnsi="仿宋" w:eastAsia="仿宋" w:cs="仿宋"/>
          <w:b/>
          <w:bCs/>
          <w:sz w:val="28"/>
          <w:szCs w:val="36"/>
        </w:rPr>
        <w:t>：</w:t>
      </w:r>
      <w:r>
        <w:rPr>
          <w:rFonts w:hint="eastAsia" w:ascii="仿宋" w:hAnsi="仿宋" w:eastAsia="仿宋" w:cs="仿宋"/>
          <w:b w:val="0"/>
          <w:bCs w:val="0"/>
          <w:sz w:val="28"/>
          <w:szCs w:val="36"/>
          <w:lang w:val="en-US" w:eastAsia="zh-CN"/>
        </w:rPr>
        <w:t>能提供充足空间的</w:t>
      </w:r>
      <w:r>
        <w:rPr>
          <w:rFonts w:hint="eastAsia" w:ascii="仿宋" w:hAnsi="仿宋" w:eastAsia="仿宋" w:cs="仿宋"/>
          <w:sz w:val="28"/>
          <w:szCs w:val="36"/>
        </w:rPr>
        <w:t>应急演练空间的</w:t>
      </w:r>
      <w:r>
        <w:rPr>
          <w:rFonts w:hint="eastAsia" w:ascii="仿宋" w:hAnsi="仿宋" w:eastAsia="仿宋" w:cs="仿宋"/>
          <w:sz w:val="28"/>
          <w:szCs w:val="36"/>
          <w:lang w:val="en-US" w:eastAsia="zh-CN"/>
        </w:rPr>
        <w:t>场地设施/多媒体会议室；</w:t>
      </w:r>
      <w:r>
        <w:rPr>
          <w:rFonts w:hint="eastAsia" w:ascii="仿宋" w:hAnsi="仿宋" w:eastAsia="仿宋" w:cs="仿宋"/>
          <w:sz w:val="28"/>
          <w:szCs w:val="36"/>
        </w:rPr>
        <w:t>拥有齐全的会务活动设备和资源，如音响设备、投影设备、</w:t>
      </w:r>
      <w:r>
        <w:rPr>
          <w:rFonts w:hint="eastAsia" w:ascii="仿宋" w:hAnsi="仿宋" w:eastAsia="仿宋" w:cs="仿宋"/>
          <w:sz w:val="28"/>
          <w:szCs w:val="36"/>
          <w:lang w:val="en-US" w:eastAsia="zh-CN"/>
        </w:rPr>
        <w:t>演练场景</w:t>
      </w:r>
      <w:r>
        <w:rPr>
          <w:rFonts w:hint="eastAsia" w:ascii="仿宋" w:hAnsi="仿宋" w:eastAsia="仿宋" w:cs="仿宋"/>
          <w:sz w:val="28"/>
          <w:szCs w:val="36"/>
        </w:rPr>
        <w:t>搭建材料、宣传物料制作设备等，能够满足演练活动的现场需求。</w:t>
      </w:r>
      <w:r>
        <w:rPr>
          <w:rFonts w:hint="eastAsia" w:ascii="仿宋" w:hAnsi="仿宋" w:eastAsia="仿宋" w:cs="仿宋"/>
          <w:sz w:val="28"/>
          <w:szCs w:val="36"/>
          <w:lang w:val="en-US" w:eastAsia="zh-CN"/>
        </w:rPr>
        <w:t>除医院外专家，邀请一名演练技术指导专家，由供应商</w:t>
      </w:r>
      <w:r>
        <w:rPr>
          <w:rFonts w:hint="eastAsia" w:ascii="仿宋" w:hAnsi="仿宋" w:eastAsia="仿宋" w:cs="仿宋"/>
          <w:sz w:val="28"/>
          <w:szCs w:val="28"/>
          <w:lang w:val="en-US" w:eastAsia="zh-CN"/>
        </w:rPr>
        <w:t>负责专家住宿、餐费、劳务费及接送费用，院外专家费用包含在本次报价中。</w:t>
      </w:r>
    </w:p>
    <w:p w14:paraId="20D1B1D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highlight w:val="none"/>
        </w:rPr>
      </w:pPr>
      <w:r>
        <w:rPr>
          <w:rFonts w:hint="eastAsia" w:ascii="仿宋" w:hAnsi="仿宋" w:eastAsia="仿宋" w:cs="仿宋"/>
          <w:b/>
          <w:bCs/>
          <w:sz w:val="28"/>
          <w:szCs w:val="36"/>
        </w:rPr>
        <w:t>住宿要求：</w:t>
      </w:r>
      <w:r>
        <w:rPr>
          <w:rFonts w:hint="eastAsia" w:ascii="仿宋" w:hAnsi="仿宋" w:eastAsia="仿宋" w:cs="仿宋"/>
          <w:b w:val="0"/>
          <w:bCs w:val="0"/>
          <w:sz w:val="28"/>
          <w:szCs w:val="36"/>
          <w:highlight w:val="none"/>
          <w:lang w:val="en-US" w:eastAsia="zh-CN"/>
        </w:rPr>
        <w:t>原则上不安排所有参训人员住宿，但根据实际情况需要</w:t>
      </w:r>
      <w:r>
        <w:rPr>
          <w:rFonts w:hint="eastAsia" w:ascii="仿宋" w:hAnsi="仿宋" w:eastAsia="仿宋" w:cs="仿宋"/>
          <w:b w:val="0"/>
          <w:bCs w:val="0"/>
          <w:sz w:val="28"/>
          <w:szCs w:val="36"/>
          <w:highlight w:val="none"/>
        </w:rPr>
        <w:t>提</w:t>
      </w:r>
      <w:r>
        <w:rPr>
          <w:rFonts w:hint="eastAsia" w:ascii="仿宋" w:hAnsi="仿宋" w:eastAsia="仿宋" w:cs="仿宋"/>
          <w:sz w:val="28"/>
          <w:szCs w:val="36"/>
          <w:highlight w:val="none"/>
        </w:rPr>
        <w:t>供主办方</w:t>
      </w:r>
      <w:r>
        <w:rPr>
          <w:rFonts w:hint="eastAsia" w:ascii="仿宋" w:hAnsi="仿宋" w:eastAsia="仿宋" w:cs="仿宋"/>
          <w:sz w:val="28"/>
          <w:szCs w:val="36"/>
          <w:highlight w:val="none"/>
          <w:lang w:val="en-US" w:eastAsia="zh-CN"/>
        </w:rPr>
        <w:t>部分</w:t>
      </w:r>
      <w:r>
        <w:rPr>
          <w:rFonts w:hint="eastAsia" w:ascii="仿宋" w:hAnsi="仿宋" w:eastAsia="仿宋" w:cs="仿宋"/>
          <w:sz w:val="28"/>
          <w:szCs w:val="36"/>
          <w:highlight w:val="none"/>
        </w:rPr>
        <w:t>工作人员的住宿（2人/间标准房，配备独立卫浴和空调）。</w:t>
      </w:r>
      <w:r>
        <w:rPr>
          <w:rFonts w:hint="eastAsia" w:ascii="仿宋" w:hAnsi="仿宋" w:eastAsia="仿宋" w:cs="仿宋"/>
          <w:sz w:val="28"/>
          <w:szCs w:val="36"/>
          <w:highlight w:val="none"/>
          <w:lang w:val="en-US" w:eastAsia="zh-CN"/>
        </w:rPr>
        <w:t>住宿费用</w:t>
      </w:r>
      <w:r>
        <w:rPr>
          <w:rFonts w:hint="eastAsia" w:ascii="仿宋" w:hAnsi="仿宋" w:eastAsia="仿宋" w:cs="仿宋"/>
          <w:sz w:val="28"/>
          <w:szCs w:val="28"/>
          <w:highlight w:val="none"/>
          <w:lang w:val="en-US" w:eastAsia="zh-CN"/>
        </w:rPr>
        <w:t>包含在本次报价中，</w:t>
      </w:r>
      <w:r>
        <w:rPr>
          <w:rFonts w:hint="eastAsia" w:ascii="仿宋" w:hAnsi="仿宋" w:eastAsia="仿宋" w:cs="仿宋"/>
          <w:sz w:val="28"/>
          <w:szCs w:val="36"/>
          <w:highlight w:val="none"/>
        </w:rPr>
        <w:t>结算单价严格遵守国家及采购人的差旅费管理办法限额标准。</w:t>
      </w:r>
    </w:p>
    <w:p w14:paraId="4CB8E42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餐饮要求：</w:t>
      </w:r>
      <w:r>
        <w:rPr>
          <w:rFonts w:hint="eastAsia" w:ascii="仿宋" w:hAnsi="仿宋" w:eastAsia="仿宋" w:cs="仿宋"/>
          <w:b w:val="0"/>
          <w:bCs w:val="0"/>
          <w:sz w:val="28"/>
          <w:szCs w:val="36"/>
          <w:highlight w:val="none"/>
          <w:lang w:val="en-US" w:eastAsia="zh-CN"/>
        </w:rPr>
        <w:t>提供两期演练的中餐</w:t>
      </w:r>
      <w:r>
        <w:rPr>
          <w:rFonts w:hint="eastAsia" w:ascii="仿宋" w:hAnsi="仿宋" w:eastAsia="仿宋" w:cs="仿宋"/>
          <w:b w:val="0"/>
          <w:bCs w:val="0"/>
          <w:sz w:val="28"/>
          <w:szCs w:val="36"/>
          <w:highlight w:val="none"/>
        </w:rPr>
        <w:t>，保证食品安全卫生</w:t>
      </w:r>
      <w:r>
        <w:rPr>
          <w:rFonts w:hint="eastAsia" w:ascii="仿宋" w:hAnsi="仿宋" w:eastAsia="仿宋" w:cs="仿宋"/>
          <w:sz w:val="28"/>
          <w:szCs w:val="36"/>
          <w:highlight w:val="none"/>
        </w:rPr>
        <w:t>。</w:t>
      </w:r>
      <w:r>
        <w:rPr>
          <w:rFonts w:hint="eastAsia" w:ascii="仿宋" w:hAnsi="仿宋" w:eastAsia="仿宋" w:cs="仿宋"/>
          <w:sz w:val="28"/>
          <w:szCs w:val="36"/>
          <w:highlight w:val="none"/>
          <w:lang w:val="en-US" w:eastAsia="zh-CN"/>
        </w:rPr>
        <w:t>餐饮费用</w:t>
      </w:r>
      <w:r>
        <w:rPr>
          <w:rFonts w:hint="eastAsia" w:ascii="仿宋" w:hAnsi="仿宋" w:eastAsia="仿宋" w:cs="仿宋"/>
          <w:sz w:val="28"/>
          <w:szCs w:val="28"/>
          <w:highlight w:val="none"/>
          <w:lang w:val="en-US" w:eastAsia="zh-CN"/>
        </w:rPr>
        <w:t>包含在本次报价中，</w:t>
      </w:r>
      <w:r>
        <w:rPr>
          <w:rFonts w:hint="eastAsia" w:ascii="仿宋" w:hAnsi="仿宋" w:eastAsia="仿宋" w:cs="仿宋"/>
          <w:sz w:val="28"/>
          <w:szCs w:val="36"/>
          <w:highlight w:val="none"/>
        </w:rPr>
        <w:t>结算单价严格遵守国家及采</w:t>
      </w:r>
      <w:r>
        <w:rPr>
          <w:rFonts w:hint="eastAsia" w:ascii="仿宋" w:hAnsi="仿宋" w:eastAsia="仿宋" w:cs="仿宋"/>
          <w:sz w:val="28"/>
          <w:szCs w:val="36"/>
        </w:rPr>
        <w:t>购人的差旅费管理办法限额标准。</w:t>
      </w:r>
    </w:p>
    <w:p w14:paraId="3211DA2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5.会务物料及服务要求</w:t>
      </w:r>
    </w:p>
    <w:p w14:paraId="3417B62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会务资料：</w:t>
      </w:r>
      <w:r>
        <w:rPr>
          <w:rFonts w:hint="default" w:ascii="仿宋" w:hAnsi="仿宋" w:eastAsia="仿宋" w:cs="仿宋"/>
          <w:kern w:val="2"/>
          <w:sz w:val="28"/>
          <w:szCs w:val="36"/>
          <w:lang w:val="en-US" w:eastAsia="zh-CN" w:bidi="ar-SA"/>
        </w:rPr>
        <w:t>需设计制作活动主背景、横幅、指示牌、资料袋、学员手册（内含演练指引及参训教材）、胸卡、笔、本、议程表等。</w:t>
      </w:r>
    </w:p>
    <w:p w14:paraId="2FD3DF66">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医疗清单准备：</w:t>
      </w:r>
      <w:r>
        <w:rPr>
          <w:rFonts w:hint="default" w:ascii="仿宋" w:hAnsi="仿宋" w:eastAsia="仿宋" w:cs="仿宋"/>
          <w:kern w:val="2"/>
          <w:sz w:val="28"/>
          <w:szCs w:val="36"/>
          <w:lang w:val="en-US" w:eastAsia="zh-CN" w:bidi="ar-SA"/>
        </w:rPr>
        <w:t>在场外布置签到背景板和水牌指引，对接采购人预案需要的卫生医疗清单等</w:t>
      </w:r>
      <w:r>
        <w:rPr>
          <w:rFonts w:hint="eastAsia" w:ascii="仿宋" w:hAnsi="仿宋" w:eastAsia="仿宋" w:cs="仿宋"/>
          <w:kern w:val="2"/>
          <w:sz w:val="28"/>
          <w:szCs w:val="36"/>
          <w:lang w:val="en-US" w:eastAsia="zh-CN" w:bidi="ar-SA"/>
        </w:rPr>
        <w:t>，物资可由医院准备。</w:t>
      </w:r>
    </w:p>
    <w:p w14:paraId="609E203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人身意外伤害保险：</w:t>
      </w:r>
      <w:r>
        <w:rPr>
          <w:rFonts w:hint="default" w:ascii="仿宋" w:hAnsi="仿宋" w:eastAsia="仿宋" w:cs="仿宋"/>
          <w:kern w:val="2"/>
          <w:sz w:val="28"/>
          <w:szCs w:val="36"/>
          <w:lang w:val="en-US" w:eastAsia="zh-CN" w:bidi="ar-SA"/>
        </w:rPr>
        <w:t>对全体参训人员购买人身意外伤害保险（保额不低于30万元/人）。</w:t>
      </w:r>
    </w:p>
    <w:p w14:paraId="7B78396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活动策划、执行方案及总结：</w:t>
      </w:r>
      <w:r>
        <w:rPr>
          <w:rFonts w:hint="eastAsia" w:ascii="仿宋" w:hAnsi="仿宋" w:eastAsia="仿宋" w:cs="仿宋"/>
          <w:kern w:val="2"/>
          <w:sz w:val="28"/>
          <w:szCs w:val="36"/>
          <w:lang w:val="en-US" w:eastAsia="zh-CN" w:bidi="ar-SA"/>
        </w:rPr>
        <w:t>供应商需提供两份完整可操作的《活动策划与执行方案》（每期独立一份），</w:t>
      </w:r>
      <w:r>
        <w:rPr>
          <w:rFonts w:hint="eastAsia" w:ascii="仿宋" w:hAnsi="仿宋" w:eastAsia="仿宋" w:cs="仿宋"/>
          <w:kern w:val="2"/>
          <w:sz w:val="28"/>
          <w:szCs w:val="36"/>
          <w:highlight w:val="none"/>
          <w:lang w:val="en-US" w:eastAsia="zh-CN" w:bidi="ar-SA"/>
        </w:rPr>
        <w:t>包括每期演练的具体日程安排、演练实施方案和活动应急预案等。供应商</w:t>
      </w:r>
      <w:r>
        <w:rPr>
          <w:rFonts w:hint="eastAsia" w:ascii="仿宋" w:hAnsi="仿宋" w:eastAsia="仿宋" w:cs="仿宋"/>
          <w:kern w:val="2"/>
          <w:sz w:val="28"/>
          <w:szCs w:val="36"/>
          <w:lang w:val="en-US" w:eastAsia="zh-CN" w:bidi="ar-SA"/>
        </w:rPr>
        <w:t>在实施前需经过采购人审核修改；未经同意，不得擅自调整培训科目内容和演练流程。承诺完成总体项目总结1份及满意度调查和分析报告，演练视频1份，通讯稿1篇。</w:t>
      </w:r>
    </w:p>
    <w:p w14:paraId="6EA2521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6.</w:t>
      </w:r>
      <w:r>
        <w:rPr>
          <w:rFonts w:hint="eastAsia" w:ascii="仿宋" w:hAnsi="仿宋" w:eastAsia="仿宋" w:cs="仿宋"/>
          <w:b/>
          <w:bCs/>
          <w:sz w:val="28"/>
          <w:szCs w:val="36"/>
        </w:rPr>
        <w:t>应急保障能力要求​</w:t>
      </w:r>
    </w:p>
    <w:p w14:paraId="7EA437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具有完善的应急保障预案，能够应对演练活动中可能出现的各种突发情况，如设备故障、人员突发疾病、天气变化等，确保演练活动的顺利进行。​</w:t>
      </w:r>
    </w:p>
    <w:p w14:paraId="30B58A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配备必要的应急保障人员和物资，如维修人员、医疗急救人员、应急药品、备用设备等，能够在突发情况发生时及时进行处置</w:t>
      </w:r>
      <w:r>
        <w:rPr>
          <w:rFonts w:hint="eastAsia" w:ascii="仿宋" w:hAnsi="仿宋" w:eastAsia="仿宋" w:cs="仿宋"/>
          <w:sz w:val="28"/>
          <w:szCs w:val="36"/>
          <w:lang w:eastAsia="zh-CN"/>
        </w:rPr>
        <w:t>。</w:t>
      </w:r>
    </w:p>
    <w:p w14:paraId="27C31081">
      <w:pPr>
        <w:spacing w:line="360" w:lineRule="auto"/>
        <w:ind w:firstLine="560" w:firstLineChars="200"/>
        <w:rPr>
          <w:rFonts w:hint="eastAsia" w:ascii="仿宋" w:hAnsi="仿宋" w:eastAsia="仿宋" w:cs="仿宋"/>
          <w:sz w:val="28"/>
          <w:szCs w:val="36"/>
          <w:lang w:eastAsia="zh-CN"/>
        </w:rPr>
      </w:pPr>
      <w:r>
        <w:rPr>
          <w:rFonts w:hint="eastAsia" w:ascii="仿宋" w:hAnsi="仿宋" w:eastAsia="仿宋" w:cs="仿宋"/>
          <w:sz w:val="28"/>
          <w:szCs w:val="28"/>
          <w:lang w:eastAsia="zh-CN"/>
        </w:rPr>
        <w:t>在合作期限内，若因供应商服务不到位、组织不好等原因，导致</w:t>
      </w:r>
      <w:r>
        <w:rPr>
          <w:rFonts w:hint="eastAsia" w:ascii="仿宋" w:hAnsi="仿宋" w:eastAsia="仿宋" w:cs="仿宋"/>
          <w:sz w:val="28"/>
          <w:szCs w:val="28"/>
          <w:lang w:val="en-US" w:eastAsia="zh-CN"/>
        </w:rPr>
        <w:t>演练</w:t>
      </w:r>
      <w:r>
        <w:rPr>
          <w:rFonts w:hint="eastAsia" w:ascii="仿宋" w:hAnsi="仿宋" w:eastAsia="仿宋" w:cs="仿宋"/>
          <w:sz w:val="28"/>
          <w:szCs w:val="28"/>
          <w:lang w:eastAsia="zh-CN"/>
        </w:rPr>
        <w:t>活动中出现较大失误或安全事故，采购方有权解除合作。</w:t>
      </w:r>
    </w:p>
    <w:p w14:paraId="2469B2B4">
      <w:pPr>
        <w:spacing w:line="360" w:lineRule="auto"/>
        <w:ind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w:t>
      </w:r>
      <w:r>
        <w:rPr>
          <w:rFonts w:hint="default" w:ascii="黑体" w:hAnsi="黑体" w:eastAsia="黑体" w:cs="黑体"/>
          <w:b w:val="0"/>
          <w:bCs/>
          <w:sz w:val="28"/>
          <w:szCs w:val="28"/>
          <w:lang w:val="en-US" w:eastAsia="zh-CN"/>
        </w:rPr>
        <w:t>服务期限</w:t>
      </w:r>
    </w:p>
    <w:p w14:paraId="66E29918">
      <w:pPr>
        <w:pStyle w:val="5"/>
        <w:keepNext w:val="0"/>
        <w:keepLines w:val="0"/>
        <w:widowControl/>
        <w:suppressLineNumbers w:val="0"/>
        <w:shd w:val="clear" w:fill="FFFFFF"/>
        <w:spacing w:before="160" w:beforeAutospacing="0" w:after="16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合同签订之日起至2026年12月1日，并完成合同规定的所有服务内容。其中，2期演练应分别于2026年6月—11月期间举办，具体举办时间由双方协商并经采购人确认。</w:t>
      </w:r>
    </w:p>
    <w:p w14:paraId="7239FDC5">
      <w:pPr>
        <w:spacing w:line="360" w:lineRule="auto"/>
        <w:ind w:firstLine="560" w:firstLineChars="200"/>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w:t>
      </w:r>
      <w:r>
        <w:rPr>
          <w:rFonts w:hint="default" w:ascii="黑体" w:hAnsi="黑体" w:eastAsia="黑体" w:cs="黑体"/>
          <w:b w:val="0"/>
          <w:bCs/>
          <w:sz w:val="28"/>
          <w:szCs w:val="28"/>
          <w:lang w:val="en-US" w:eastAsia="zh-CN"/>
        </w:rPr>
        <w:t>付款方式：</w:t>
      </w:r>
    </w:p>
    <w:p w14:paraId="6574CFD4">
      <w:pPr>
        <w:pStyle w:val="5"/>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w:t>
      </w:r>
      <w:r>
        <w:rPr>
          <w:rFonts w:hint="default" w:ascii="仿宋" w:hAnsi="仿宋" w:eastAsia="仿宋" w:cs="仿宋"/>
          <w:kern w:val="2"/>
          <w:sz w:val="28"/>
          <w:szCs w:val="36"/>
          <w:lang w:val="en-US" w:eastAsia="zh-CN" w:bidi="ar-SA"/>
        </w:rPr>
        <w:t>合同签订后支付50%的合同金</w:t>
      </w:r>
      <w:r>
        <w:rPr>
          <w:rFonts w:hint="eastAsia" w:ascii="仿宋" w:hAnsi="仿宋" w:eastAsia="仿宋" w:cs="仿宋"/>
          <w:kern w:val="2"/>
          <w:sz w:val="28"/>
          <w:szCs w:val="36"/>
          <w:lang w:val="en-US" w:eastAsia="zh-CN" w:bidi="ar-SA"/>
        </w:rPr>
        <w:t>额</w:t>
      </w:r>
      <w:r>
        <w:rPr>
          <w:rFonts w:hint="default" w:ascii="仿宋" w:hAnsi="仿宋" w:eastAsia="仿宋" w:cs="仿宋"/>
          <w:kern w:val="2"/>
          <w:sz w:val="28"/>
          <w:szCs w:val="36"/>
          <w:lang w:val="en-US" w:eastAsia="zh-CN" w:bidi="ar-SA"/>
        </w:rPr>
        <w:t>；</w:t>
      </w:r>
    </w:p>
    <w:p w14:paraId="3A8E2443">
      <w:pPr>
        <w:pStyle w:val="5"/>
        <w:keepNext w:val="0"/>
        <w:keepLines w:val="0"/>
        <w:widowControl/>
        <w:suppressLineNumbers w:val="0"/>
        <w:spacing w:before="0" w:beforeAutospacing="0" w:after="0" w:afterAutospacing="0"/>
        <w:ind w:left="0" w:right="0" w:firstLine="560" w:firstLineChars="200"/>
        <w:rPr>
          <w:rFonts w:hint="eastAsia" w:ascii="黑体" w:hAnsi="黑体" w:eastAsia="黑体" w:cs="黑体"/>
          <w:b w:val="0"/>
          <w:bCs/>
          <w:sz w:val="28"/>
          <w:szCs w:val="28"/>
          <w:lang w:val="en-US" w:eastAsia="zh-CN"/>
        </w:rPr>
      </w:pPr>
      <w:r>
        <w:rPr>
          <w:rFonts w:hint="eastAsia" w:ascii="仿宋" w:hAnsi="仿宋" w:eastAsia="仿宋" w:cs="仿宋"/>
          <w:kern w:val="2"/>
          <w:sz w:val="28"/>
          <w:szCs w:val="36"/>
          <w:lang w:val="en-US" w:eastAsia="zh-CN" w:bidi="ar-SA"/>
        </w:rPr>
        <w:t>2.</w:t>
      </w:r>
      <w:r>
        <w:rPr>
          <w:rFonts w:hint="default" w:ascii="仿宋" w:hAnsi="仿宋" w:eastAsia="仿宋" w:cs="仿宋"/>
          <w:kern w:val="2"/>
          <w:sz w:val="28"/>
          <w:szCs w:val="36"/>
          <w:lang w:val="en-US" w:eastAsia="zh-CN" w:bidi="ar-SA"/>
        </w:rPr>
        <w:t>第二期演练活动结束后，根据各项住宿、餐饮、人员费用及最终完成情况，提供全套验收清单，采购人确认无误后支付剩余余款。</w:t>
      </w:r>
    </w:p>
    <w:p w14:paraId="237648D4">
      <w:pPr>
        <w:spacing w:line="360" w:lineRule="auto"/>
        <w:ind w:firstLine="560" w:firstLineChars="200"/>
        <w:jc w:val="left"/>
        <w:rPr>
          <w:rFonts w:hint="default" w:ascii="仿宋" w:hAnsi="仿宋" w:eastAsia="仿宋" w:cs="仿宋"/>
          <w:kern w:val="2"/>
          <w:sz w:val="28"/>
          <w:szCs w:val="36"/>
          <w:lang w:val="en-US" w:eastAsia="zh-CN" w:bidi="ar-SA"/>
        </w:rPr>
      </w:pPr>
      <w:r>
        <w:rPr>
          <w:rFonts w:hint="eastAsia" w:ascii="黑体" w:hAnsi="黑体" w:eastAsia="黑体" w:cs="黑体"/>
          <w:b w:val="0"/>
          <w:bCs/>
          <w:sz w:val="28"/>
          <w:szCs w:val="28"/>
          <w:lang w:val="en-US" w:eastAsia="zh-CN"/>
        </w:rPr>
        <w:t>五</w:t>
      </w:r>
      <w:r>
        <w:rPr>
          <w:rFonts w:hint="default" w:ascii="黑体" w:hAnsi="黑体" w:eastAsia="黑体" w:cs="黑体"/>
          <w:b w:val="0"/>
          <w:bCs/>
          <w:sz w:val="28"/>
          <w:szCs w:val="28"/>
          <w:lang w:val="en-US" w:eastAsia="zh-CN"/>
        </w:rPr>
        <w:t>、保密要求和知识产权</w:t>
      </w:r>
    </w:p>
    <w:p w14:paraId="0B255D1A">
      <w:pPr>
        <w:pStyle w:val="5"/>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供应商应对活动中涉及的演练教案、机密信息和数据予以严格保密，不得未经许可泄露给第三方。</w:t>
      </w:r>
    </w:p>
    <w:p w14:paraId="12C3758F">
      <w:pPr>
        <w:pStyle w:val="5"/>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供应商为本次演练制作的全部视频影像著作权属采购人所有；涉及第三方软件、素材不能存在版权纠纷。</w:t>
      </w:r>
    </w:p>
    <w:p w14:paraId="10164402">
      <w:pPr>
        <w:keepNext w:val="0"/>
        <w:keepLines w:val="0"/>
        <w:widowControl/>
        <w:suppressLineNumbers w:val="0"/>
        <w:spacing w:before="0" w:beforeAutospacing="0" w:after="0" w:afterAutospacing="0"/>
        <w:ind w:left="0" w:right="0" w:firstLineChars="200"/>
        <w:rPr>
          <w:rFonts w:hint="eastAsia" w:ascii="仿宋" w:hAnsi="仿宋" w:eastAsia="仿宋" w:cs="仿宋"/>
          <w:i w:val="0"/>
          <w:iCs w:val="0"/>
          <w:caps w:val="0"/>
          <w:color w:val="000000"/>
          <w:spacing w:val="0"/>
          <w:sz w:val="30"/>
          <w:szCs w:val="30"/>
          <w:shd w:val="clear" w:fill="FFFFFF"/>
        </w:rPr>
      </w:pPr>
      <w:r>
        <w:rPr>
          <w:rFonts w:hint="eastAsia" w:ascii="黑体" w:hAnsi="黑体" w:eastAsia="黑体" w:cs="黑体"/>
          <w:b w:val="0"/>
          <w:bCs/>
          <w:kern w:val="2"/>
          <w:sz w:val="28"/>
          <w:szCs w:val="28"/>
          <w:lang w:val="en-US" w:eastAsia="zh-CN" w:bidi="ar-SA"/>
        </w:rPr>
        <w:br w:type="page"/>
      </w:r>
    </w:p>
    <w:p w14:paraId="0ED7180D">
      <w:pPr>
        <w:spacing w:line="360" w:lineRule="auto"/>
        <w:jc w:val="left"/>
        <w:rPr>
          <w:rFonts w:hint="eastAsia" w:ascii="微软雅黑" w:hAnsi="微软雅黑" w:eastAsia="微软雅黑"/>
          <w:b/>
          <w:sz w:val="28"/>
          <w:szCs w:val="28"/>
          <w:lang w:val="en-US" w:eastAsia="zh-CN"/>
        </w:rPr>
      </w:pPr>
      <w:r>
        <w:rPr>
          <w:rFonts w:hint="eastAsia" w:ascii="微软雅黑" w:hAnsi="微软雅黑" w:eastAsia="微软雅黑"/>
          <w:b/>
          <w:sz w:val="28"/>
          <w:szCs w:val="28"/>
          <w:lang w:val="en-US" w:eastAsia="zh-CN"/>
        </w:rPr>
        <w:t>附件2：</w:t>
      </w:r>
    </w:p>
    <w:p w14:paraId="31B59C4A">
      <w:pPr>
        <w:spacing w:line="360" w:lineRule="auto"/>
        <w:ind w:left="19" w:leftChars="-67" w:hanging="160" w:hangingChars="50"/>
        <w:jc w:val="center"/>
        <w:rPr>
          <w:rFonts w:hint="eastAsia" w:ascii="宋体" w:hAnsi="宋体"/>
          <w:bCs/>
          <w:spacing w:val="28"/>
          <w:sz w:val="28"/>
          <w:szCs w:val="28"/>
        </w:rPr>
      </w:pPr>
      <w:r>
        <w:rPr>
          <w:rFonts w:ascii="微软雅黑" w:hAnsi="微软雅黑" w:eastAsia="微软雅黑"/>
          <w:b/>
          <w:sz w:val="32"/>
          <w:szCs w:val="32"/>
        </w:rPr>
        <w:t>报价表</w:t>
      </w:r>
    </w:p>
    <w:p w14:paraId="763DFB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项目名称：</w:t>
      </w:r>
    </w:p>
    <w:p w14:paraId="10FF5E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联系人姓名：</w:t>
      </w:r>
    </w:p>
    <w:p w14:paraId="782C05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rPr>
        <w:t>联系人电话：</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联系人邮箱</w:t>
      </w:r>
      <w:r>
        <w:rPr>
          <w:rFonts w:hint="eastAsia" w:ascii="仿宋" w:hAnsi="仿宋" w:eastAsia="仿宋" w:cs="仿宋"/>
          <w:sz w:val="28"/>
          <w:szCs w:val="36"/>
          <w:lang w:eastAsia="zh-CN"/>
        </w:rPr>
        <w:t>：</w:t>
      </w:r>
    </w:p>
    <w:p w14:paraId="4F746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供应商名称：</w:t>
      </w:r>
    </w:p>
    <w:tbl>
      <w:tblPr>
        <w:tblStyle w:val="6"/>
        <w:tblW w:w="9249" w:type="dxa"/>
        <w:jc w:val="center"/>
        <w:tblLayout w:type="fixed"/>
        <w:tblCellMar>
          <w:top w:w="0" w:type="dxa"/>
          <w:left w:w="108" w:type="dxa"/>
          <w:bottom w:w="0" w:type="dxa"/>
          <w:right w:w="108" w:type="dxa"/>
        </w:tblCellMar>
      </w:tblPr>
      <w:tblGrid>
        <w:gridCol w:w="793"/>
        <w:gridCol w:w="4292"/>
        <w:gridCol w:w="956"/>
        <w:gridCol w:w="900"/>
        <w:gridCol w:w="2308"/>
      </w:tblGrid>
      <w:tr w14:paraId="7B0C1950">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tcPr>
          <w:p w14:paraId="34283F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4292" w:type="dxa"/>
            <w:tcBorders>
              <w:top w:val="single" w:color="auto" w:sz="4" w:space="0"/>
              <w:left w:val="nil"/>
              <w:bottom w:val="single" w:color="auto" w:sz="4" w:space="0"/>
              <w:right w:val="single" w:color="auto" w:sz="4" w:space="0"/>
            </w:tcBorders>
            <w:vAlign w:val="center"/>
          </w:tcPr>
          <w:p w14:paraId="08B83DF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w:t>
            </w:r>
          </w:p>
        </w:tc>
        <w:tc>
          <w:tcPr>
            <w:tcW w:w="956" w:type="dxa"/>
            <w:tcBorders>
              <w:top w:val="single" w:color="auto" w:sz="4" w:space="0"/>
              <w:left w:val="nil"/>
              <w:bottom w:val="single" w:color="auto" w:sz="4" w:space="0"/>
              <w:right w:val="single" w:color="auto" w:sz="4" w:space="0"/>
            </w:tcBorders>
          </w:tcPr>
          <w:p w14:paraId="7CA9E3D0">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900" w:type="dxa"/>
            <w:tcBorders>
              <w:top w:val="single" w:color="auto" w:sz="4" w:space="0"/>
              <w:left w:val="nil"/>
              <w:bottom w:val="single" w:color="auto" w:sz="4" w:space="0"/>
              <w:right w:val="single" w:color="auto" w:sz="4" w:space="0"/>
            </w:tcBorders>
          </w:tcPr>
          <w:p w14:paraId="28833CB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2308" w:type="dxa"/>
            <w:tcBorders>
              <w:top w:val="single" w:color="auto" w:sz="4" w:space="0"/>
              <w:left w:val="nil"/>
              <w:bottom w:val="single" w:color="auto" w:sz="4" w:space="0"/>
              <w:right w:val="single" w:color="auto" w:sz="4" w:space="0"/>
            </w:tcBorders>
          </w:tcPr>
          <w:p w14:paraId="727B64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分项报价（元）</w:t>
            </w:r>
          </w:p>
        </w:tc>
      </w:tr>
      <w:tr w14:paraId="387C2C59">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top"/>
          </w:tcPr>
          <w:p w14:paraId="29D8635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1</w:t>
            </w:r>
          </w:p>
        </w:tc>
        <w:tc>
          <w:tcPr>
            <w:tcW w:w="4292" w:type="dxa"/>
            <w:tcBorders>
              <w:top w:val="single" w:color="auto" w:sz="4" w:space="0"/>
              <w:left w:val="nil"/>
              <w:bottom w:val="single" w:color="auto" w:sz="4" w:space="0"/>
              <w:right w:val="single" w:color="auto" w:sz="4" w:space="0"/>
            </w:tcBorders>
            <w:shd w:val="clear" w:color="auto" w:fill="auto"/>
            <w:vAlign w:val="top"/>
          </w:tcPr>
          <w:p w14:paraId="357772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场地租赁及布置</w:t>
            </w:r>
          </w:p>
        </w:tc>
        <w:tc>
          <w:tcPr>
            <w:tcW w:w="956" w:type="dxa"/>
            <w:tcBorders>
              <w:top w:val="single" w:color="auto" w:sz="4" w:space="0"/>
              <w:left w:val="nil"/>
              <w:bottom w:val="single" w:color="auto" w:sz="4" w:space="0"/>
              <w:right w:val="single" w:color="auto" w:sz="4" w:space="0"/>
            </w:tcBorders>
            <w:shd w:val="clear" w:color="auto" w:fill="auto"/>
            <w:vAlign w:val="center"/>
          </w:tcPr>
          <w:p w14:paraId="25C48B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single" w:color="auto" w:sz="4" w:space="0"/>
              <w:left w:val="nil"/>
              <w:bottom w:val="single" w:color="auto" w:sz="4" w:space="0"/>
              <w:right w:val="single" w:color="auto" w:sz="4" w:space="0"/>
            </w:tcBorders>
            <w:vAlign w:val="center"/>
          </w:tcPr>
          <w:p w14:paraId="3B4B8CAF">
            <w:pPr>
              <w:widowControl/>
              <w:spacing w:line="36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w:t>
            </w:r>
          </w:p>
        </w:tc>
        <w:tc>
          <w:tcPr>
            <w:tcW w:w="2308" w:type="dxa"/>
            <w:tcBorders>
              <w:top w:val="single" w:color="auto" w:sz="4" w:space="0"/>
              <w:left w:val="nil"/>
              <w:bottom w:val="single" w:color="auto" w:sz="4" w:space="0"/>
              <w:right w:val="single" w:color="auto" w:sz="4" w:space="0"/>
            </w:tcBorders>
            <w:vAlign w:val="center"/>
          </w:tcPr>
          <w:p w14:paraId="69591A6B">
            <w:pPr>
              <w:widowControl/>
              <w:spacing w:line="360" w:lineRule="auto"/>
              <w:jc w:val="center"/>
              <w:rPr>
                <w:rFonts w:hint="eastAsia" w:ascii="仿宋" w:hAnsi="仿宋" w:eastAsia="仿宋" w:cs="仿宋"/>
                <w:color w:val="000000"/>
                <w:kern w:val="0"/>
                <w:sz w:val="24"/>
                <w:szCs w:val="24"/>
              </w:rPr>
            </w:pPr>
          </w:p>
        </w:tc>
      </w:tr>
      <w:tr w14:paraId="7F2906D5">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E26AA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4292" w:type="dxa"/>
            <w:tcBorders>
              <w:top w:val="nil"/>
              <w:left w:val="nil"/>
              <w:bottom w:val="single" w:color="auto" w:sz="4" w:space="0"/>
              <w:right w:val="single" w:color="auto" w:sz="4" w:space="0"/>
            </w:tcBorders>
            <w:shd w:val="clear" w:color="auto" w:fill="auto"/>
            <w:vAlign w:val="top"/>
          </w:tcPr>
          <w:p w14:paraId="3F18B3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住宿费</w:t>
            </w:r>
          </w:p>
        </w:tc>
        <w:tc>
          <w:tcPr>
            <w:tcW w:w="956" w:type="dxa"/>
            <w:tcBorders>
              <w:top w:val="nil"/>
              <w:left w:val="nil"/>
              <w:bottom w:val="single" w:color="auto" w:sz="4" w:space="0"/>
              <w:right w:val="single" w:color="auto" w:sz="4" w:space="0"/>
            </w:tcBorders>
            <w:shd w:val="clear" w:color="auto" w:fill="auto"/>
            <w:vAlign w:val="center"/>
          </w:tcPr>
          <w:p w14:paraId="6F07ED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vAlign w:val="center"/>
          </w:tcPr>
          <w:p w14:paraId="2FBB74DB">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32FF1290">
            <w:pPr>
              <w:widowControl/>
              <w:spacing w:line="360" w:lineRule="auto"/>
              <w:jc w:val="center"/>
              <w:rPr>
                <w:rFonts w:hint="eastAsia" w:ascii="仿宋" w:hAnsi="仿宋" w:eastAsia="仿宋" w:cs="仿宋"/>
                <w:color w:val="000000"/>
                <w:kern w:val="0"/>
                <w:sz w:val="24"/>
                <w:szCs w:val="24"/>
              </w:rPr>
            </w:pPr>
          </w:p>
        </w:tc>
      </w:tr>
      <w:tr w14:paraId="2FD08385">
        <w:tblPrEx>
          <w:tblCellMar>
            <w:top w:w="0" w:type="dxa"/>
            <w:left w:w="108" w:type="dxa"/>
            <w:bottom w:w="0" w:type="dxa"/>
            <w:right w:w="108" w:type="dxa"/>
          </w:tblCellMar>
        </w:tblPrEx>
        <w:trPr>
          <w:trHeight w:val="9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0D5378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3</w:t>
            </w:r>
          </w:p>
        </w:tc>
        <w:tc>
          <w:tcPr>
            <w:tcW w:w="4292" w:type="dxa"/>
            <w:tcBorders>
              <w:top w:val="nil"/>
              <w:left w:val="nil"/>
              <w:bottom w:val="single" w:color="auto" w:sz="4" w:space="0"/>
              <w:right w:val="single" w:color="auto" w:sz="4" w:space="0"/>
            </w:tcBorders>
            <w:shd w:val="clear" w:color="auto" w:fill="auto"/>
            <w:vAlign w:val="top"/>
          </w:tcPr>
          <w:p w14:paraId="72C52AB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餐饮费</w:t>
            </w:r>
          </w:p>
        </w:tc>
        <w:tc>
          <w:tcPr>
            <w:tcW w:w="956" w:type="dxa"/>
            <w:tcBorders>
              <w:top w:val="nil"/>
              <w:left w:val="nil"/>
              <w:bottom w:val="single" w:color="auto" w:sz="4" w:space="0"/>
              <w:right w:val="single" w:color="auto" w:sz="4" w:space="0"/>
            </w:tcBorders>
            <w:shd w:val="clear" w:color="auto" w:fill="auto"/>
            <w:vAlign w:val="center"/>
          </w:tcPr>
          <w:p w14:paraId="313E490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vAlign w:val="center"/>
          </w:tcPr>
          <w:p w14:paraId="124EDAF8">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3E291678">
            <w:pPr>
              <w:widowControl/>
              <w:spacing w:line="360" w:lineRule="auto"/>
              <w:jc w:val="center"/>
              <w:rPr>
                <w:rFonts w:hint="eastAsia" w:ascii="仿宋" w:hAnsi="仿宋" w:eastAsia="仿宋" w:cs="仿宋"/>
                <w:color w:val="000000"/>
                <w:kern w:val="0"/>
                <w:sz w:val="24"/>
                <w:szCs w:val="24"/>
              </w:rPr>
            </w:pPr>
          </w:p>
        </w:tc>
      </w:tr>
      <w:tr w14:paraId="6F1C6D53">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5E36CFC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highlight w:val="none"/>
                <w:vertAlign w:val="baseline"/>
                <w:lang w:val="en-US" w:eastAsia="zh-CN" w:bidi="ar-SA"/>
              </w:rPr>
            </w:pPr>
            <w:r>
              <w:rPr>
                <w:rFonts w:hint="eastAsia" w:ascii="仿宋" w:hAnsi="仿宋" w:eastAsia="仿宋" w:cs="仿宋"/>
                <w:sz w:val="28"/>
                <w:szCs w:val="36"/>
                <w:highlight w:val="none"/>
                <w:vertAlign w:val="baseline"/>
                <w:lang w:val="en-US" w:eastAsia="zh-CN"/>
              </w:rPr>
              <w:t>4</w:t>
            </w:r>
          </w:p>
        </w:tc>
        <w:tc>
          <w:tcPr>
            <w:tcW w:w="4292" w:type="dxa"/>
            <w:tcBorders>
              <w:top w:val="nil"/>
              <w:left w:val="nil"/>
              <w:bottom w:val="single" w:color="auto" w:sz="4" w:space="0"/>
              <w:right w:val="single" w:color="auto" w:sz="4" w:space="0"/>
            </w:tcBorders>
            <w:shd w:val="clear" w:color="auto" w:fill="auto"/>
            <w:vAlign w:val="top"/>
          </w:tcPr>
          <w:p w14:paraId="01D0973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 w:hAnsi="仿宋" w:eastAsia="仿宋" w:cs="仿宋"/>
                <w:kern w:val="2"/>
                <w:sz w:val="28"/>
                <w:szCs w:val="36"/>
                <w:highlight w:val="none"/>
                <w:vertAlign w:val="baseline"/>
                <w:lang w:val="en-US" w:eastAsia="zh-CN" w:bidi="ar-SA"/>
              </w:rPr>
            </w:pPr>
            <w:r>
              <w:rPr>
                <w:rFonts w:hint="eastAsia" w:ascii="仿宋" w:hAnsi="仿宋" w:eastAsia="仿宋" w:cs="仿宋"/>
                <w:sz w:val="28"/>
                <w:szCs w:val="36"/>
                <w:highlight w:val="none"/>
                <w:vertAlign w:val="baseline"/>
                <w:lang w:val="en-US" w:eastAsia="zh-CN"/>
              </w:rPr>
              <w:t>演练策划及执行费用</w:t>
            </w:r>
          </w:p>
        </w:tc>
        <w:tc>
          <w:tcPr>
            <w:tcW w:w="956" w:type="dxa"/>
            <w:tcBorders>
              <w:top w:val="nil"/>
              <w:left w:val="nil"/>
              <w:bottom w:val="single" w:color="auto" w:sz="4" w:space="0"/>
              <w:right w:val="single" w:color="auto" w:sz="4" w:space="0"/>
            </w:tcBorders>
            <w:shd w:val="clear" w:color="auto" w:fill="auto"/>
            <w:vAlign w:val="center"/>
          </w:tcPr>
          <w:p w14:paraId="1C6E8F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vAlign w:val="center"/>
          </w:tcPr>
          <w:p w14:paraId="486FBD7E">
            <w:pPr>
              <w:widowControl/>
              <w:spacing w:line="36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2C66D354">
            <w:pPr>
              <w:widowControl/>
              <w:spacing w:line="360" w:lineRule="auto"/>
              <w:jc w:val="center"/>
              <w:rPr>
                <w:rFonts w:hint="eastAsia" w:ascii="仿宋" w:hAnsi="仿宋" w:eastAsia="仿宋" w:cs="仿宋"/>
                <w:color w:val="000000"/>
                <w:kern w:val="0"/>
                <w:sz w:val="24"/>
                <w:szCs w:val="24"/>
              </w:rPr>
            </w:pPr>
          </w:p>
        </w:tc>
      </w:tr>
      <w:tr w14:paraId="5E92F663">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0478F29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sz w:val="28"/>
                <w:szCs w:val="36"/>
                <w:highlight w:val="none"/>
                <w:vertAlign w:val="baseline"/>
                <w:lang w:val="en-US" w:eastAsia="zh-CN"/>
              </w:rPr>
            </w:pPr>
            <w:r>
              <w:rPr>
                <w:rFonts w:hint="eastAsia" w:ascii="仿宋" w:hAnsi="仿宋" w:eastAsia="仿宋" w:cs="仿宋"/>
                <w:sz w:val="28"/>
                <w:szCs w:val="36"/>
                <w:highlight w:val="none"/>
                <w:vertAlign w:val="baseline"/>
                <w:lang w:val="en-US" w:eastAsia="zh-CN"/>
              </w:rPr>
              <w:t>5</w:t>
            </w:r>
          </w:p>
        </w:tc>
        <w:tc>
          <w:tcPr>
            <w:tcW w:w="4292" w:type="dxa"/>
            <w:tcBorders>
              <w:top w:val="nil"/>
              <w:left w:val="nil"/>
              <w:bottom w:val="single" w:color="auto" w:sz="4" w:space="0"/>
              <w:right w:val="single" w:color="auto" w:sz="4" w:space="0"/>
            </w:tcBorders>
            <w:shd w:val="clear" w:color="auto" w:fill="auto"/>
            <w:vAlign w:val="top"/>
          </w:tcPr>
          <w:p w14:paraId="2A78AA2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 w:hAnsi="仿宋" w:eastAsia="仿宋" w:cs="仿宋"/>
                <w:sz w:val="28"/>
                <w:szCs w:val="36"/>
                <w:highlight w:val="none"/>
                <w:vertAlign w:val="baseline"/>
                <w:lang w:val="en-US" w:eastAsia="zh-CN"/>
              </w:rPr>
            </w:pPr>
            <w:r>
              <w:rPr>
                <w:rFonts w:hint="eastAsia" w:ascii="仿宋" w:hAnsi="仿宋" w:eastAsia="仿宋" w:cs="仿宋"/>
                <w:sz w:val="28"/>
                <w:szCs w:val="36"/>
                <w:highlight w:val="none"/>
                <w:vertAlign w:val="baseline"/>
                <w:lang w:val="en-US" w:eastAsia="zh-CN"/>
              </w:rPr>
              <w:t>专家邀请费用</w:t>
            </w:r>
          </w:p>
        </w:tc>
        <w:tc>
          <w:tcPr>
            <w:tcW w:w="956" w:type="dxa"/>
            <w:tcBorders>
              <w:top w:val="nil"/>
              <w:left w:val="nil"/>
              <w:bottom w:val="single" w:color="auto" w:sz="4" w:space="0"/>
              <w:right w:val="single" w:color="auto" w:sz="4" w:space="0"/>
            </w:tcBorders>
            <w:shd w:val="clear" w:color="auto" w:fill="auto"/>
            <w:vAlign w:val="center"/>
          </w:tcPr>
          <w:p w14:paraId="40272F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shd w:val="clear" w:color="auto" w:fill="auto"/>
            <w:vAlign w:val="center"/>
          </w:tcPr>
          <w:p w14:paraId="28404FEA">
            <w:pPr>
              <w:widowControl/>
              <w:spacing w:line="36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17EF4602">
            <w:pPr>
              <w:widowControl/>
              <w:spacing w:line="360" w:lineRule="auto"/>
              <w:jc w:val="center"/>
              <w:rPr>
                <w:rFonts w:hint="eastAsia" w:ascii="仿宋" w:hAnsi="仿宋" w:eastAsia="仿宋" w:cs="仿宋"/>
                <w:color w:val="000000"/>
                <w:kern w:val="0"/>
                <w:sz w:val="24"/>
                <w:szCs w:val="24"/>
              </w:rPr>
            </w:pPr>
          </w:p>
        </w:tc>
      </w:tr>
      <w:tr w14:paraId="1DF4606D">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4AA49A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6</w:t>
            </w:r>
          </w:p>
        </w:tc>
        <w:tc>
          <w:tcPr>
            <w:tcW w:w="4292" w:type="dxa"/>
            <w:tcBorders>
              <w:top w:val="nil"/>
              <w:left w:val="nil"/>
              <w:bottom w:val="single" w:color="auto" w:sz="4" w:space="0"/>
              <w:right w:val="single" w:color="auto" w:sz="4" w:space="0"/>
            </w:tcBorders>
            <w:shd w:val="clear" w:color="auto" w:fill="auto"/>
            <w:vAlign w:val="top"/>
          </w:tcPr>
          <w:p w14:paraId="5B964F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物料制作</w:t>
            </w:r>
          </w:p>
        </w:tc>
        <w:tc>
          <w:tcPr>
            <w:tcW w:w="956" w:type="dxa"/>
            <w:tcBorders>
              <w:top w:val="nil"/>
              <w:left w:val="nil"/>
              <w:bottom w:val="single" w:color="auto" w:sz="4" w:space="0"/>
              <w:right w:val="single" w:color="auto" w:sz="4" w:space="0"/>
            </w:tcBorders>
            <w:shd w:val="clear" w:color="auto" w:fill="auto"/>
            <w:vAlign w:val="center"/>
          </w:tcPr>
          <w:p w14:paraId="5501E7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vAlign w:val="center"/>
          </w:tcPr>
          <w:p w14:paraId="54C04978">
            <w:pPr>
              <w:widowControl/>
              <w:spacing w:line="36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57AC2D90">
            <w:pPr>
              <w:widowControl/>
              <w:spacing w:line="360" w:lineRule="auto"/>
              <w:jc w:val="center"/>
              <w:rPr>
                <w:rFonts w:hint="eastAsia" w:ascii="仿宋" w:hAnsi="仿宋" w:eastAsia="仿宋" w:cs="仿宋"/>
                <w:color w:val="000000"/>
                <w:kern w:val="0"/>
                <w:sz w:val="24"/>
                <w:szCs w:val="24"/>
              </w:rPr>
            </w:pPr>
          </w:p>
        </w:tc>
      </w:tr>
      <w:tr w14:paraId="558A9DA2">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1B71AB2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kern w:val="2"/>
                <w:sz w:val="28"/>
                <w:szCs w:val="36"/>
                <w:highlight w:val="none"/>
                <w:vertAlign w:val="baseline"/>
                <w:lang w:val="en-US" w:eastAsia="zh-CN" w:bidi="ar-SA"/>
              </w:rPr>
            </w:pPr>
            <w:r>
              <w:rPr>
                <w:rFonts w:hint="eastAsia" w:ascii="仿宋" w:hAnsi="仿宋" w:eastAsia="仿宋" w:cs="仿宋"/>
                <w:kern w:val="2"/>
                <w:sz w:val="28"/>
                <w:szCs w:val="36"/>
                <w:highlight w:val="none"/>
                <w:vertAlign w:val="baseline"/>
                <w:lang w:val="en-US" w:eastAsia="zh-CN" w:bidi="ar-SA"/>
              </w:rPr>
              <w:t>7</w:t>
            </w:r>
          </w:p>
        </w:tc>
        <w:tc>
          <w:tcPr>
            <w:tcW w:w="4292" w:type="dxa"/>
            <w:tcBorders>
              <w:top w:val="nil"/>
              <w:left w:val="nil"/>
              <w:bottom w:val="single" w:color="auto" w:sz="4" w:space="0"/>
              <w:right w:val="single" w:color="auto" w:sz="4" w:space="0"/>
            </w:tcBorders>
            <w:shd w:val="clear" w:color="auto" w:fill="auto"/>
            <w:vAlign w:val="top"/>
          </w:tcPr>
          <w:p w14:paraId="5F5DA5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仿宋" w:hAnsi="仿宋" w:eastAsia="仿宋" w:cs="仿宋"/>
                <w:sz w:val="28"/>
                <w:szCs w:val="36"/>
                <w:highlight w:val="none"/>
                <w:vertAlign w:val="baseline"/>
                <w:lang w:val="en-US" w:eastAsia="zh-CN"/>
              </w:rPr>
            </w:pPr>
            <w:r>
              <w:rPr>
                <w:rFonts w:hint="eastAsia" w:ascii="仿宋" w:hAnsi="仿宋" w:eastAsia="仿宋" w:cs="仿宋"/>
                <w:sz w:val="28"/>
                <w:szCs w:val="36"/>
                <w:highlight w:val="none"/>
                <w:vertAlign w:val="baseline"/>
                <w:lang w:val="en-US" w:eastAsia="zh-CN"/>
              </w:rPr>
              <w:t>演练全程摄影摄像</w:t>
            </w:r>
          </w:p>
        </w:tc>
        <w:tc>
          <w:tcPr>
            <w:tcW w:w="956" w:type="dxa"/>
            <w:tcBorders>
              <w:top w:val="nil"/>
              <w:left w:val="nil"/>
              <w:bottom w:val="single" w:color="auto" w:sz="4" w:space="0"/>
              <w:right w:val="single" w:color="auto" w:sz="4" w:space="0"/>
            </w:tcBorders>
            <w:shd w:val="clear" w:color="auto" w:fill="auto"/>
            <w:vAlign w:val="center"/>
          </w:tcPr>
          <w:p w14:paraId="36EF1A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shd w:val="clear" w:color="auto" w:fill="auto"/>
            <w:vAlign w:val="center"/>
          </w:tcPr>
          <w:p w14:paraId="4410D975">
            <w:pPr>
              <w:widowControl/>
              <w:spacing w:line="36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1B366C9A">
            <w:pPr>
              <w:widowControl/>
              <w:spacing w:line="360" w:lineRule="auto"/>
              <w:jc w:val="center"/>
              <w:rPr>
                <w:rFonts w:hint="eastAsia" w:ascii="仿宋" w:hAnsi="仿宋" w:eastAsia="仿宋" w:cs="仿宋"/>
                <w:color w:val="000000"/>
                <w:kern w:val="0"/>
                <w:sz w:val="24"/>
                <w:szCs w:val="24"/>
              </w:rPr>
            </w:pPr>
          </w:p>
        </w:tc>
      </w:tr>
      <w:tr w14:paraId="620677B1">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5B9D0A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8</w:t>
            </w:r>
          </w:p>
        </w:tc>
        <w:tc>
          <w:tcPr>
            <w:tcW w:w="4292" w:type="dxa"/>
            <w:tcBorders>
              <w:top w:val="nil"/>
              <w:left w:val="nil"/>
              <w:bottom w:val="single" w:color="auto" w:sz="4" w:space="0"/>
              <w:right w:val="single" w:color="auto" w:sz="4" w:space="0"/>
            </w:tcBorders>
            <w:shd w:val="clear" w:color="auto" w:fill="auto"/>
            <w:vAlign w:val="top"/>
          </w:tcPr>
          <w:p w14:paraId="577F24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交通后勤及其他</w:t>
            </w:r>
          </w:p>
        </w:tc>
        <w:tc>
          <w:tcPr>
            <w:tcW w:w="956" w:type="dxa"/>
            <w:tcBorders>
              <w:top w:val="nil"/>
              <w:left w:val="nil"/>
              <w:bottom w:val="single" w:color="auto" w:sz="4" w:space="0"/>
              <w:right w:val="single" w:color="auto" w:sz="4" w:space="0"/>
            </w:tcBorders>
            <w:shd w:val="clear" w:color="auto" w:fill="auto"/>
            <w:vAlign w:val="center"/>
          </w:tcPr>
          <w:p w14:paraId="113CB0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vAlign w:val="center"/>
          </w:tcPr>
          <w:p w14:paraId="0C146468">
            <w:pPr>
              <w:widowControl/>
              <w:spacing w:line="36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7523BD85">
            <w:pPr>
              <w:widowControl/>
              <w:spacing w:line="360" w:lineRule="auto"/>
              <w:jc w:val="center"/>
              <w:rPr>
                <w:rFonts w:hint="eastAsia" w:ascii="仿宋" w:hAnsi="仿宋" w:eastAsia="仿宋" w:cs="仿宋"/>
                <w:color w:val="000000"/>
                <w:kern w:val="0"/>
                <w:sz w:val="24"/>
                <w:szCs w:val="24"/>
              </w:rPr>
            </w:pPr>
          </w:p>
        </w:tc>
      </w:tr>
      <w:tr w14:paraId="104D4DFA">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1A1635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9</w:t>
            </w:r>
          </w:p>
        </w:tc>
        <w:tc>
          <w:tcPr>
            <w:tcW w:w="4292" w:type="dxa"/>
            <w:tcBorders>
              <w:top w:val="nil"/>
              <w:left w:val="nil"/>
              <w:bottom w:val="single" w:color="auto" w:sz="4" w:space="0"/>
              <w:right w:val="single" w:color="auto" w:sz="4" w:space="0"/>
            </w:tcBorders>
            <w:shd w:val="clear" w:color="auto" w:fill="auto"/>
            <w:vAlign w:val="top"/>
          </w:tcPr>
          <w:p w14:paraId="0D56B1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队员意外伤害保险费用</w:t>
            </w:r>
          </w:p>
        </w:tc>
        <w:tc>
          <w:tcPr>
            <w:tcW w:w="956" w:type="dxa"/>
            <w:tcBorders>
              <w:top w:val="nil"/>
              <w:left w:val="nil"/>
              <w:bottom w:val="single" w:color="auto" w:sz="4" w:space="0"/>
              <w:right w:val="single" w:color="auto" w:sz="4" w:space="0"/>
            </w:tcBorders>
            <w:shd w:val="clear" w:color="auto" w:fill="auto"/>
            <w:vAlign w:val="center"/>
          </w:tcPr>
          <w:p w14:paraId="16FE28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kern w:val="2"/>
                <w:sz w:val="28"/>
                <w:szCs w:val="36"/>
                <w:vertAlign w:val="baseline"/>
                <w:lang w:val="en-US" w:eastAsia="zh-CN" w:bidi="ar-SA"/>
              </w:rPr>
              <w:t>1</w:t>
            </w:r>
          </w:p>
        </w:tc>
        <w:tc>
          <w:tcPr>
            <w:tcW w:w="900" w:type="dxa"/>
            <w:tcBorders>
              <w:top w:val="nil"/>
              <w:left w:val="nil"/>
              <w:bottom w:val="single" w:color="auto" w:sz="4" w:space="0"/>
              <w:right w:val="single" w:color="auto" w:sz="4" w:space="0"/>
            </w:tcBorders>
            <w:shd w:val="clear" w:color="auto" w:fill="auto"/>
            <w:vAlign w:val="center"/>
          </w:tcPr>
          <w:p w14:paraId="7DF7E5C2">
            <w:pPr>
              <w:widowControl/>
              <w:spacing w:line="36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项</w:t>
            </w:r>
          </w:p>
        </w:tc>
        <w:tc>
          <w:tcPr>
            <w:tcW w:w="2308" w:type="dxa"/>
            <w:tcBorders>
              <w:top w:val="nil"/>
              <w:left w:val="nil"/>
              <w:bottom w:val="single" w:color="auto" w:sz="4" w:space="0"/>
              <w:right w:val="single" w:color="auto" w:sz="4" w:space="0"/>
            </w:tcBorders>
            <w:vAlign w:val="center"/>
          </w:tcPr>
          <w:p w14:paraId="07EEC6F3">
            <w:pPr>
              <w:widowControl/>
              <w:spacing w:line="360" w:lineRule="auto"/>
              <w:jc w:val="center"/>
              <w:rPr>
                <w:rFonts w:hint="eastAsia" w:ascii="仿宋" w:hAnsi="仿宋" w:eastAsia="仿宋" w:cs="仿宋"/>
                <w:color w:val="000000"/>
                <w:kern w:val="0"/>
                <w:sz w:val="24"/>
                <w:szCs w:val="24"/>
              </w:rPr>
            </w:pPr>
          </w:p>
        </w:tc>
      </w:tr>
      <w:tr w14:paraId="6EED97EF">
        <w:tblPrEx>
          <w:tblCellMar>
            <w:top w:w="0" w:type="dxa"/>
            <w:left w:w="108" w:type="dxa"/>
            <w:bottom w:w="0" w:type="dxa"/>
            <w:right w:w="108" w:type="dxa"/>
          </w:tblCellMar>
        </w:tblPrEx>
        <w:trPr>
          <w:trHeight w:val="360" w:hRule="atLeast"/>
          <w:jc w:val="center"/>
        </w:trPr>
        <w:tc>
          <w:tcPr>
            <w:tcW w:w="6941" w:type="dxa"/>
            <w:gridSpan w:val="4"/>
            <w:tcBorders>
              <w:top w:val="single" w:color="auto" w:sz="4" w:space="0"/>
              <w:left w:val="single" w:color="auto" w:sz="4" w:space="0"/>
              <w:bottom w:val="single" w:color="auto" w:sz="4" w:space="0"/>
              <w:right w:val="single" w:color="auto" w:sz="4" w:space="0"/>
            </w:tcBorders>
            <w:vAlign w:val="center"/>
          </w:tcPr>
          <w:p w14:paraId="1C0676C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sz w:val="24"/>
                <w:szCs w:val="24"/>
              </w:rPr>
              <w:t>总报价（人民币）</w:t>
            </w:r>
          </w:p>
        </w:tc>
        <w:tc>
          <w:tcPr>
            <w:tcW w:w="2308" w:type="dxa"/>
            <w:tcBorders>
              <w:top w:val="single" w:color="auto" w:sz="4" w:space="0"/>
              <w:left w:val="nil"/>
              <w:bottom w:val="single" w:color="auto" w:sz="4" w:space="0"/>
              <w:right w:val="single" w:color="auto" w:sz="4" w:space="0"/>
            </w:tcBorders>
            <w:vAlign w:val="center"/>
          </w:tcPr>
          <w:p w14:paraId="68F9E863">
            <w:pPr>
              <w:jc w:val="center"/>
              <w:rPr>
                <w:rFonts w:hint="eastAsia" w:ascii="仿宋" w:hAnsi="仿宋" w:eastAsia="仿宋" w:cs="仿宋"/>
                <w:b/>
                <w:bCs/>
                <w:sz w:val="24"/>
                <w:szCs w:val="24"/>
              </w:rPr>
            </w:pPr>
            <w:r>
              <w:rPr>
                <w:rFonts w:hint="eastAsia" w:ascii="仿宋" w:hAnsi="仿宋" w:eastAsia="仿宋" w:cs="仿宋"/>
                <w:b/>
                <w:bCs/>
                <w:sz w:val="24"/>
                <w:szCs w:val="24"/>
              </w:rPr>
              <w:t>XXX元</w:t>
            </w:r>
          </w:p>
        </w:tc>
      </w:tr>
    </w:tbl>
    <w:p w14:paraId="6B009281">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供应商（单位公章）：</w:t>
      </w:r>
    </w:p>
    <w:p w14:paraId="2B56DED3">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日期：    年   月   日</w:t>
      </w:r>
    </w:p>
    <w:p w14:paraId="2CE9268B">
      <w:pPr>
        <w:pStyle w:val="3"/>
        <w:keepNext w:val="0"/>
        <w:keepLines w:val="0"/>
        <w:pageBreakBefore w:val="0"/>
        <w:widowControl w:val="0"/>
        <w:kinsoku/>
        <w:wordWrap/>
        <w:overflowPunct/>
        <w:topLinePunct w:val="0"/>
        <w:autoSpaceDE/>
        <w:autoSpaceDN/>
        <w:bidi w:val="0"/>
        <w:adjustRightInd/>
        <w:snapToGrid/>
        <w:spacing w:line="240" w:lineRule="auto"/>
        <w:ind w:left="720" w:hanging="660" w:hangingChars="300"/>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注：1.填写此表时不得改变表格的形式。如有其他特殊说明事项，可在“备注”栏内明确表述。</w:t>
      </w:r>
    </w:p>
    <w:p w14:paraId="47D7B95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2.温馨提示：中文大写金额用汉字表述，如壹、贰、叁、肆、伍、陆、柒、捌、玖、拾、佰、仟、万、亿、元、角、分、零、整（正）等。</w:t>
      </w:r>
    </w:p>
    <w:p w14:paraId="41390405">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3.以上费用仅供参考，投标人可自行分项报价。住宿费、餐饮费结算单价严格控制且不可超过中央和国家机关标准及采购人财务制度限额标准。</w:t>
      </w:r>
      <w:r>
        <w:rPr>
          <w:rFonts w:hint="default" w:ascii="仿宋" w:hAnsi="仿宋" w:eastAsia="仿宋" w:cs="仿宋"/>
          <w:kern w:val="2"/>
          <w:sz w:val="22"/>
          <w:szCs w:val="28"/>
          <w:lang w:val="en-US" w:eastAsia="zh-CN" w:bidi="ar-SA"/>
        </w:rPr>
        <w:t>服务费须包含实际参训人员的意外</w:t>
      </w:r>
      <w:r>
        <w:rPr>
          <w:rFonts w:hint="eastAsia" w:ascii="仿宋" w:hAnsi="仿宋" w:eastAsia="仿宋" w:cs="仿宋"/>
          <w:kern w:val="2"/>
          <w:sz w:val="22"/>
          <w:szCs w:val="28"/>
          <w:lang w:val="en-US" w:eastAsia="zh-CN" w:bidi="ar-SA"/>
        </w:rPr>
        <w:t>伤害保险费用</w:t>
      </w:r>
      <w:r>
        <w:rPr>
          <w:rFonts w:hint="default" w:ascii="仿宋" w:hAnsi="仿宋" w:eastAsia="仿宋" w:cs="仿宋"/>
          <w:kern w:val="2"/>
          <w:sz w:val="22"/>
          <w:szCs w:val="28"/>
          <w:lang w:val="en-US" w:eastAsia="zh-CN" w:bidi="ar-SA"/>
        </w:rPr>
        <w:t>。</w:t>
      </w:r>
    </w:p>
    <w:p w14:paraId="4C20C9A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highlight w:val="none"/>
        </w:rPr>
      </w:pPr>
      <w:r>
        <w:rPr>
          <w:rFonts w:hint="eastAsia" w:ascii="仿宋" w:hAnsi="仿宋" w:eastAsia="仿宋" w:cs="仿宋"/>
          <w:kern w:val="2"/>
          <w:sz w:val="22"/>
          <w:szCs w:val="28"/>
          <w:highlight w:val="none"/>
          <w:lang w:val="en-US" w:eastAsia="zh-CN" w:bidi="ar-SA"/>
        </w:rPr>
        <w:t>4.拟举办两期演练，两期时间总计不超过2天（两期可分别选择不同场地）。活动采用当日往返形式，不统一安排住宿，但根据实际需要，将包含部分工作人员的食宿。</w:t>
      </w:r>
      <w:r>
        <w:rPr>
          <w:rFonts w:hint="eastAsia" w:ascii="仿宋" w:hAnsi="仿宋" w:eastAsia="仿宋" w:cs="仿宋"/>
          <w:kern w:val="2"/>
          <w:sz w:val="28"/>
          <w:szCs w:val="36"/>
          <w:highlight w:val="none"/>
          <w:lang w:val="en-US" w:eastAsia="zh-CN" w:bidi="ar-SA"/>
        </w:rPr>
        <w:br w:type="page"/>
      </w:r>
    </w:p>
    <w:p w14:paraId="271CA980">
      <w:pPr>
        <w:spacing w:line="360" w:lineRule="auto"/>
        <w:jc w:val="left"/>
        <w:rPr>
          <w:rFonts w:hint="default" w:ascii="仿宋" w:hAnsi="仿宋" w:eastAsia="仿宋" w:cs="仿宋"/>
          <w:b/>
          <w:bCs/>
          <w:sz w:val="36"/>
          <w:szCs w:val="36"/>
          <w:lang w:val="en-US" w:eastAsia="zh-CN"/>
        </w:rPr>
      </w:pPr>
      <w:r>
        <w:rPr>
          <w:rFonts w:hint="eastAsia" w:ascii="微软雅黑" w:hAnsi="微软雅黑" w:eastAsia="微软雅黑"/>
          <w:b/>
          <w:sz w:val="28"/>
          <w:szCs w:val="28"/>
          <w:lang w:val="en-US" w:eastAsia="zh-CN"/>
        </w:rPr>
        <w:t>附件3：</w:t>
      </w:r>
    </w:p>
    <w:p w14:paraId="0F7505C3">
      <w:pPr>
        <w:jc w:val="center"/>
      </w:pPr>
      <w:r>
        <w:rPr>
          <w:rFonts w:hint="eastAsia" w:ascii="微软雅黑" w:hAnsi="微软雅黑" w:eastAsia="微软雅黑"/>
          <w:b/>
          <w:sz w:val="32"/>
          <w:szCs w:val="32"/>
          <w:lang w:val="en-US" w:eastAsia="zh-CN"/>
        </w:rPr>
        <w:t>重大疫情医疗应急队伍演练活动服务项目评分表</w:t>
      </w:r>
    </w:p>
    <w:p w14:paraId="14D87CF3"/>
    <w:p w14:paraId="6E43B68F">
      <w:pPr>
        <w:pStyle w:val="3"/>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时    间：</w:t>
      </w:r>
    </w:p>
    <w:p w14:paraId="713F1B83">
      <w:pPr>
        <w:pStyle w:val="3"/>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评 分 表：满分100分，3个维度打分</w:t>
      </w:r>
    </w:p>
    <w:p w14:paraId="26A74B34">
      <w:pPr>
        <w:pStyle w:val="3"/>
        <w:ind w:left="720" w:hanging="840" w:hangingChars="3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本项目采用综合评分法（总分100分），评分权重如下：</w:t>
      </w:r>
    </w:p>
    <w:tbl>
      <w:tblPr>
        <w:tblStyle w:val="6"/>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9"/>
        <w:gridCol w:w="855"/>
        <w:gridCol w:w="5704"/>
        <w:gridCol w:w="1138"/>
        <w:gridCol w:w="750"/>
      </w:tblGrid>
      <w:tr w14:paraId="0110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839" w:type="dxa"/>
            <w:tcBorders>
              <w:top w:val="single" w:color="auto" w:sz="12"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5C8B732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4"/>
                <w:szCs w:val="24"/>
              </w:rPr>
            </w:pPr>
            <w:r>
              <w:rPr>
                <w:rFonts w:hint="eastAsia" w:ascii="仿宋" w:hAnsi="仿宋" w:eastAsia="仿宋" w:cs="仿宋"/>
                <w:b/>
                <w:i w:val="0"/>
                <w:iCs w:val="0"/>
                <w:caps w:val="0"/>
                <w:color w:val="0F1115"/>
                <w:spacing w:val="0"/>
                <w:kern w:val="0"/>
                <w:sz w:val="24"/>
                <w:szCs w:val="24"/>
                <w:lang w:val="en-US" w:eastAsia="zh-CN" w:bidi="ar"/>
              </w:rPr>
              <w:t>评分项</w:t>
            </w:r>
          </w:p>
        </w:tc>
        <w:tc>
          <w:tcPr>
            <w:tcW w:w="855" w:type="dxa"/>
            <w:tcBorders>
              <w:top w:val="single" w:color="auto" w:sz="12"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3E640C7C">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4"/>
                <w:szCs w:val="24"/>
              </w:rPr>
            </w:pPr>
            <w:r>
              <w:rPr>
                <w:rFonts w:hint="eastAsia" w:ascii="仿宋" w:hAnsi="仿宋" w:eastAsia="仿宋" w:cs="仿宋"/>
                <w:b/>
                <w:i w:val="0"/>
                <w:iCs w:val="0"/>
                <w:caps w:val="0"/>
                <w:color w:val="0F1115"/>
                <w:spacing w:val="0"/>
                <w:kern w:val="0"/>
                <w:sz w:val="24"/>
                <w:szCs w:val="24"/>
                <w:lang w:val="en-US" w:eastAsia="zh-CN" w:bidi="ar"/>
              </w:rPr>
              <w:t>分值</w:t>
            </w:r>
          </w:p>
        </w:tc>
        <w:tc>
          <w:tcPr>
            <w:tcW w:w="5705" w:type="dxa"/>
            <w:tcBorders>
              <w:top w:val="single" w:color="auto" w:sz="12"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7B22420">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4"/>
                <w:szCs w:val="24"/>
              </w:rPr>
            </w:pPr>
            <w:r>
              <w:rPr>
                <w:rFonts w:hint="eastAsia" w:ascii="仿宋" w:hAnsi="仿宋" w:eastAsia="仿宋" w:cs="仿宋"/>
                <w:b/>
                <w:i w:val="0"/>
                <w:iCs w:val="0"/>
                <w:caps w:val="0"/>
                <w:color w:val="0F1115"/>
                <w:spacing w:val="0"/>
                <w:kern w:val="0"/>
                <w:sz w:val="24"/>
                <w:szCs w:val="24"/>
                <w:lang w:val="en-US" w:eastAsia="zh-CN" w:bidi="ar"/>
              </w:rPr>
              <w:t>具体评分指标</w:t>
            </w:r>
          </w:p>
        </w:tc>
        <w:tc>
          <w:tcPr>
            <w:tcW w:w="1138" w:type="dxa"/>
            <w:tcBorders>
              <w:top w:val="single" w:color="auto" w:sz="12"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34AE201D">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4"/>
                <w:szCs w:val="24"/>
              </w:rPr>
            </w:pPr>
            <w:r>
              <w:rPr>
                <w:rFonts w:hint="eastAsia" w:ascii="仿宋" w:hAnsi="仿宋" w:eastAsia="仿宋" w:cs="仿宋"/>
                <w:b/>
                <w:i w:val="0"/>
                <w:iCs w:val="0"/>
                <w:caps w:val="0"/>
                <w:color w:val="0F1115"/>
                <w:spacing w:val="0"/>
                <w:kern w:val="0"/>
                <w:sz w:val="24"/>
                <w:szCs w:val="24"/>
                <w:lang w:val="en-US" w:eastAsia="zh-CN" w:bidi="ar"/>
              </w:rPr>
              <w:t>具体分值</w:t>
            </w:r>
          </w:p>
        </w:tc>
        <w:tc>
          <w:tcPr>
            <w:tcW w:w="750" w:type="dxa"/>
            <w:tcBorders>
              <w:top w:val="single" w:color="auto" w:sz="12" w:space="0"/>
              <w:left w:val="single" w:color="auto" w:sz="4" w:space="0"/>
              <w:bottom w:val="nil"/>
              <w:right w:val="single" w:color="auto" w:sz="12" w:space="0"/>
            </w:tcBorders>
            <w:shd w:val="clear" w:color="auto" w:fill="FFFFFF"/>
            <w:noWrap w:val="0"/>
            <w:tcMar>
              <w:top w:w="120" w:type="dxa"/>
              <w:left w:w="192" w:type="dxa"/>
              <w:bottom w:w="120" w:type="dxa"/>
              <w:right w:w="192" w:type="dxa"/>
            </w:tcMar>
            <w:vAlign w:val="center"/>
          </w:tcPr>
          <w:p w14:paraId="62F74C2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4"/>
                <w:szCs w:val="24"/>
              </w:rPr>
            </w:pPr>
            <w:r>
              <w:rPr>
                <w:rFonts w:hint="eastAsia" w:ascii="仿宋" w:hAnsi="仿宋" w:eastAsia="仿宋" w:cs="仿宋"/>
                <w:b/>
                <w:i w:val="0"/>
                <w:iCs w:val="0"/>
                <w:caps w:val="0"/>
                <w:color w:val="0F1115"/>
                <w:spacing w:val="0"/>
                <w:kern w:val="0"/>
                <w:sz w:val="24"/>
                <w:szCs w:val="24"/>
                <w:lang w:val="en-US" w:eastAsia="zh-CN" w:bidi="ar"/>
              </w:rPr>
              <w:t>评分</w:t>
            </w:r>
          </w:p>
        </w:tc>
      </w:tr>
      <w:tr w14:paraId="557F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4B6453FD">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价格分</w:t>
            </w:r>
          </w:p>
        </w:tc>
        <w:tc>
          <w:tcPr>
            <w:tcW w:w="85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48CC3F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10分</w:t>
            </w: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A421096">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采用低价优先法计算</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4DEF116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10</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1A8C125E">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54DB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restart"/>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3F741A2D">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kern w:val="0"/>
                <w:sz w:val="24"/>
                <w:szCs w:val="24"/>
                <w:highlight w:val="none"/>
                <w:lang w:val="en-US" w:eastAsia="zh-CN" w:bidi="ar"/>
              </w:rPr>
            </w:pPr>
            <w:r>
              <w:rPr>
                <w:rFonts w:hint="eastAsia" w:ascii="仿宋" w:hAnsi="仿宋" w:eastAsia="仿宋" w:cs="仿宋"/>
                <w:i w:val="0"/>
                <w:iCs w:val="0"/>
                <w:caps w:val="0"/>
                <w:color w:val="0F1115"/>
                <w:spacing w:val="0"/>
                <w:kern w:val="0"/>
                <w:sz w:val="24"/>
                <w:szCs w:val="24"/>
                <w:highlight w:val="none"/>
                <w:lang w:val="en-US" w:eastAsia="zh-CN" w:bidi="ar"/>
              </w:rPr>
              <w:t>技术</w:t>
            </w:r>
          </w:p>
          <w:p w14:paraId="1F573176">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方案</w:t>
            </w:r>
          </w:p>
        </w:tc>
        <w:tc>
          <w:tcPr>
            <w:tcW w:w="855" w:type="dxa"/>
            <w:vMerge w:val="restart"/>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159EFF81">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50分</w:t>
            </w: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07E3F891">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对项目熟悉程度及重难点分析（含理论培训、实操、桌面推演、总结模式等是否满足采购需求）</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34FEF5B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15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0511CF12">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18F8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243B3577">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7A01A398">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5A476FCF">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项目实施方案及流程科学性与实操性（含演练布局、科目编排、物资、进度、机位、后期视频制作等）</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7C27C2C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15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4845AD49">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0493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546573C5">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17DC5991">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61E698F">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服务保障方案（含项目对接人、场地布置、食宿交通、会务物料、应急保障及购买人身意外伤害保险）</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7E1C7FB6">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10</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47A8A4EF">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163A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3A4CC16C">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118401EF">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653F093">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承诺提供总体项目总结1份、演练视频1份，满意度调查分析报告及通讯稿1篇</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0DE2F09A">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527B93DE">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5360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6BFDCCF9">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3B919891">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0024A906">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项目应急预案（恶劣天气、火灾、意外事故应对及人员伤亡处理）</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0621CC3B">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00D9D4ED">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0BAC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restart"/>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7B1FD83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kern w:val="0"/>
                <w:sz w:val="24"/>
                <w:szCs w:val="24"/>
                <w:highlight w:val="none"/>
                <w:lang w:val="en-US" w:eastAsia="zh-CN" w:bidi="ar"/>
              </w:rPr>
            </w:pPr>
            <w:r>
              <w:rPr>
                <w:rFonts w:hint="eastAsia" w:ascii="仿宋" w:hAnsi="仿宋" w:eastAsia="仿宋" w:cs="仿宋"/>
                <w:i w:val="0"/>
                <w:iCs w:val="0"/>
                <w:caps w:val="0"/>
                <w:color w:val="0F1115"/>
                <w:spacing w:val="0"/>
                <w:kern w:val="0"/>
                <w:sz w:val="24"/>
                <w:szCs w:val="24"/>
                <w:highlight w:val="none"/>
                <w:lang w:val="en-US" w:eastAsia="zh-CN" w:bidi="ar"/>
              </w:rPr>
              <w:t>商务</w:t>
            </w:r>
          </w:p>
          <w:p w14:paraId="1D331B71">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部分</w:t>
            </w:r>
          </w:p>
        </w:tc>
        <w:tc>
          <w:tcPr>
            <w:tcW w:w="855" w:type="dxa"/>
            <w:vMerge w:val="restart"/>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74623DE">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40分</w:t>
            </w: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41C2B3A0">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供应商综合实力（公司简介、财务状况、资质荣誉等）</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2C792EE7">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765253F5">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176A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0C50C151">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5AA8EEC5">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704DC990">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供应商人员能力（人员数量；演练策划、摄制协调、拍摄水平等能力）</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1E85077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7DB32389">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09E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continue"/>
            <w:tcBorders>
              <w:top w:val="single" w:color="auto" w:sz="4" w:space="0"/>
              <w:left w:val="single" w:color="auto" w:sz="12" w:space="0"/>
              <w:bottom w:val="nil"/>
              <w:right w:val="nil"/>
            </w:tcBorders>
            <w:shd w:val="clear" w:color="auto" w:fill="FFFFFF"/>
            <w:noWrap w:val="0"/>
            <w:tcMar>
              <w:top w:w="120" w:type="dxa"/>
              <w:left w:w="-1" w:type="dxa"/>
              <w:bottom w:w="120" w:type="dxa"/>
              <w:right w:w="192" w:type="dxa"/>
            </w:tcMar>
            <w:vAlign w:val="center"/>
          </w:tcPr>
          <w:p w14:paraId="117FE5B2">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5BB6DD09">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600FA29E">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同类业绩：2023年至今同类应急</w:t>
            </w:r>
            <w:r>
              <w:rPr>
                <w:rFonts w:hint="eastAsia" w:ascii="仿宋" w:hAnsi="仿宋" w:eastAsia="仿宋" w:cs="仿宋"/>
                <w:i w:val="0"/>
                <w:iCs w:val="0"/>
                <w:caps w:val="0"/>
                <w:color w:val="0F1115"/>
                <w:spacing w:val="0"/>
                <w:kern w:val="0"/>
                <w:sz w:val="24"/>
                <w:szCs w:val="24"/>
                <w:highlight w:val="none"/>
                <w:lang w:val="en-US" w:eastAsia="zh-CN" w:bidi="ar"/>
              </w:rPr>
              <w:t>演练（如医疗、传染病疫情等公共卫生类）经验，每份得5分，满分25分（提供合同复印件、活动照片、客户评价等）</w:t>
            </w:r>
          </w:p>
        </w:tc>
        <w:tc>
          <w:tcPr>
            <w:tcW w:w="1138" w:type="dxa"/>
            <w:tcBorders>
              <w:top w:val="single" w:color="auto" w:sz="4" w:space="0"/>
              <w:left w:val="single" w:color="auto" w:sz="4" w:space="0"/>
              <w:bottom w:val="nil"/>
              <w:right w:val="nil"/>
            </w:tcBorders>
            <w:shd w:val="clear" w:color="auto" w:fill="FFFFFF"/>
            <w:noWrap w:val="0"/>
            <w:tcMar>
              <w:top w:w="120" w:type="dxa"/>
              <w:left w:w="192" w:type="dxa"/>
              <w:bottom w:w="120" w:type="dxa"/>
              <w:right w:w="192" w:type="dxa"/>
            </w:tcMar>
            <w:vAlign w:val="center"/>
          </w:tcPr>
          <w:p w14:paraId="035B800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25</w:t>
            </w:r>
          </w:p>
        </w:tc>
        <w:tc>
          <w:tcPr>
            <w:tcW w:w="750" w:type="dxa"/>
            <w:tcBorders>
              <w:top w:val="single" w:color="auto" w:sz="4" w:space="0"/>
              <w:left w:val="single" w:color="auto" w:sz="4" w:space="0"/>
              <w:bottom w:val="nil"/>
              <w:right w:val="single" w:color="auto" w:sz="12" w:space="0"/>
            </w:tcBorders>
            <w:shd w:val="clear" w:color="auto" w:fill="FFFFFF"/>
            <w:noWrap w:val="0"/>
            <w:tcMar>
              <w:top w:w="120" w:type="dxa"/>
              <w:left w:w="192" w:type="dxa"/>
              <w:bottom w:w="120" w:type="dxa"/>
              <w:right w:w="-1" w:type="dxa"/>
            </w:tcMar>
            <w:vAlign w:val="center"/>
          </w:tcPr>
          <w:p w14:paraId="1A726DBE">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r w14:paraId="76A9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dxa"/>
            <w:vMerge w:val="continue"/>
            <w:tcBorders>
              <w:left w:val="single" w:color="auto" w:sz="12" w:space="0"/>
              <w:bottom w:val="single" w:color="auto" w:sz="12" w:space="0"/>
              <w:right w:val="nil"/>
            </w:tcBorders>
            <w:shd w:val="clear" w:color="auto" w:fill="FFFFFF"/>
            <w:noWrap w:val="0"/>
            <w:tcMar>
              <w:top w:w="120" w:type="dxa"/>
              <w:left w:w="-1" w:type="dxa"/>
              <w:bottom w:w="120" w:type="dxa"/>
              <w:right w:w="192" w:type="dxa"/>
            </w:tcMar>
            <w:vAlign w:val="center"/>
          </w:tcPr>
          <w:p w14:paraId="5D3B6088">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855" w:type="dxa"/>
            <w:vMerge w:val="continue"/>
            <w:tcBorders>
              <w:left w:val="single" w:color="auto" w:sz="4" w:space="0"/>
              <w:bottom w:val="single" w:color="auto" w:sz="12" w:space="0"/>
              <w:right w:val="nil"/>
            </w:tcBorders>
            <w:shd w:val="clear" w:color="auto" w:fill="FFFFFF"/>
            <w:noWrap w:val="0"/>
            <w:tcMar>
              <w:top w:w="120" w:type="dxa"/>
              <w:left w:w="192" w:type="dxa"/>
              <w:bottom w:w="120" w:type="dxa"/>
              <w:right w:w="192" w:type="dxa"/>
            </w:tcMar>
            <w:vAlign w:val="center"/>
          </w:tcPr>
          <w:p w14:paraId="04C90328">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p>
        </w:tc>
        <w:tc>
          <w:tcPr>
            <w:tcW w:w="5705" w:type="dxa"/>
            <w:tcBorders>
              <w:top w:val="single" w:color="auto" w:sz="4" w:space="0"/>
              <w:left w:val="single" w:color="auto" w:sz="4" w:space="0"/>
              <w:bottom w:val="single" w:color="auto" w:sz="12" w:space="0"/>
              <w:right w:val="nil"/>
            </w:tcBorders>
            <w:shd w:val="clear" w:color="auto" w:fill="FFFFFF"/>
            <w:noWrap w:val="0"/>
            <w:tcMar>
              <w:top w:w="120" w:type="dxa"/>
              <w:left w:w="192" w:type="dxa"/>
              <w:bottom w:w="120" w:type="dxa"/>
              <w:right w:w="192" w:type="dxa"/>
            </w:tcMar>
            <w:vAlign w:val="center"/>
          </w:tcPr>
          <w:p w14:paraId="7B9534A4">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服务人员配置方案（人员配置合理性、职责分工、同类经验）</w:t>
            </w:r>
          </w:p>
        </w:tc>
        <w:tc>
          <w:tcPr>
            <w:tcW w:w="1138" w:type="dxa"/>
            <w:tcBorders>
              <w:top w:val="single" w:color="auto" w:sz="4" w:space="0"/>
              <w:left w:val="single" w:color="auto" w:sz="4" w:space="0"/>
              <w:bottom w:val="single" w:color="auto" w:sz="12" w:space="0"/>
              <w:right w:val="nil"/>
            </w:tcBorders>
            <w:shd w:val="clear" w:color="auto" w:fill="FFFFFF"/>
            <w:noWrap w:val="0"/>
            <w:tcMar>
              <w:top w:w="120" w:type="dxa"/>
              <w:left w:w="192" w:type="dxa"/>
              <w:bottom w:w="120" w:type="dxa"/>
              <w:right w:w="192" w:type="dxa"/>
            </w:tcMar>
            <w:vAlign w:val="center"/>
          </w:tcPr>
          <w:p w14:paraId="5F22863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4"/>
                <w:szCs w:val="24"/>
                <w:highlight w:val="none"/>
              </w:rPr>
            </w:pPr>
            <w:r>
              <w:rPr>
                <w:rFonts w:hint="eastAsia" w:ascii="仿宋" w:hAnsi="仿宋" w:eastAsia="仿宋" w:cs="仿宋"/>
                <w:i w:val="0"/>
                <w:iCs w:val="0"/>
                <w:caps w:val="0"/>
                <w:color w:val="0F1115"/>
                <w:spacing w:val="0"/>
                <w:kern w:val="0"/>
                <w:sz w:val="24"/>
                <w:szCs w:val="24"/>
                <w:highlight w:val="none"/>
                <w:lang w:val="en-US" w:eastAsia="zh-CN" w:bidi="ar"/>
              </w:rPr>
              <w:t>5</w:t>
            </w:r>
          </w:p>
        </w:tc>
        <w:tc>
          <w:tcPr>
            <w:tcW w:w="750" w:type="dxa"/>
            <w:tcBorders>
              <w:top w:val="single" w:color="auto" w:sz="4" w:space="0"/>
              <w:left w:val="single" w:color="auto" w:sz="4" w:space="0"/>
              <w:bottom w:val="single" w:color="auto" w:sz="12" w:space="0"/>
              <w:right w:val="single" w:color="auto" w:sz="12" w:space="0"/>
            </w:tcBorders>
            <w:shd w:val="clear" w:color="auto" w:fill="FFFFFF"/>
            <w:noWrap w:val="0"/>
            <w:tcMar>
              <w:top w:w="-1" w:type="dxa"/>
              <w:left w:w="-1" w:type="dxa"/>
              <w:bottom w:w="-1" w:type="dxa"/>
              <w:right w:w="-1" w:type="dxa"/>
            </w:tcMar>
            <w:vAlign w:val="center"/>
          </w:tcPr>
          <w:p w14:paraId="26DF36F6">
            <w:pPr>
              <w:snapToGrid w:val="0"/>
              <w:ind w:left="0" w:leftChars="0" w:right="0" w:rightChars="0" w:firstLine="0" w:firstLineChars="0"/>
              <w:jc w:val="center"/>
              <w:rPr>
                <w:rFonts w:hint="eastAsia" w:ascii="仿宋" w:hAnsi="仿宋" w:eastAsia="仿宋" w:cs="仿宋"/>
                <w:i w:val="0"/>
                <w:iCs w:val="0"/>
                <w:caps w:val="0"/>
                <w:color w:val="0F1115"/>
                <w:spacing w:val="0"/>
                <w:sz w:val="24"/>
                <w:szCs w:val="24"/>
              </w:rPr>
            </w:pPr>
          </w:p>
        </w:tc>
      </w:tr>
    </w:tbl>
    <w:p w14:paraId="362ED0F5">
      <w:pPr>
        <w:pStyle w:val="3"/>
        <w:ind w:firstLine="4480" w:firstLineChars="1600"/>
        <w:jc w:val="both"/>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 xml:space="preserve">  专家签名：</w:t>
      </w:r>
    </w:p>
    <w:p w14:paraId="7FF31A88">
      <w:pPr>
        <w:ind w:firstLine="5320" w:firstLineChars="1900"/>
      </w:pPr>
      <w:r>
        <w:rPr>
          <w:rFonts w:hint="eastAsia" w:ascii="仿宋" w:hAnsi="仿宋" w:eastAsia="仿宋" w:cs="仿宋"/>
          <w:kern w:val="2"/>
          <w:sz w:val="28"/>
          <w:szCs w:val="36"/>
          <w:lang w:val="en-US" w:eastAsia="zh-CN" w:bidi="ar-SA"/>
        </w:rPr>
        <w:t>日期：</w:t>
      </w:r>
    </w:p>
    <w:sectPr>
      <w:footerReference r:id="rId3" w:type="default"/>
      <w:pgSz w:w="11906" w:h="16838"/>
      <w:pgMar w:top="993"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59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7D05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37D05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E4E5"/>
    <w:multiLevelType w:val="singleLevel"/>
    <w:tmpl w:val="CB18E4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87BD6"/>
    <w:rsid w:val="107B2FEC"/>
    <w:rsid w:val="293B2D21"/>
    <w:rsid w:val="2F372D57"/>
    <w:rsid w:val="3F56600A"/>
    <w:rsid w:val="5C48561E"/>
    <w:rsid w:val="61BC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100" w:beforeAutospacing="1" w:after="120"/>
      <w:outlineLvl w:val="1"/>
    </w:pPr>
    <w:rPr>
      <w:rFonts w:ascii="Arial" w:hAnsi="Arial" w:eastAsia="华文楷体"/>
      <w:b/>
      <w:bCs/>
      <w:color w:val="800080"/>
      <w:kern w:val="0"/>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3276</Words>
  <Characters>3336</Characters>
  <Lines>0</Lines>
  <Paragraphs>0</Paragraphs>
  <TotalTime>225</TotalTime>
  <ScaleCrop>false</ScaleCrop>
  <LinksUpToDate>false</LinksUpToDate>
  <CharactersWithSpaces>3375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2026-06-01T08:32:00Z</dcterms:created>
  <dc:creator>Huawei</dc:creator>
  <cp:lastModifiedBy>陈玉米</cp:lastModifiedBy>
  <dcterms:modified xsi:type="dcterms:W3CDTF">2026-06-02T08:29:08Z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eyJoZGlkIjoiMDUzNTI5ZjBjNDA4YjljZGNiZjUzMTY1NzEzZTNiNjkiLCJ1c2VySWQiOiIzMjY1OTA4MTQifQ==</vt:lpwstr>
  </property>
  <property fmtid="{D5CDD505-2E9C-101B-9397-08002B2CF9AE}" pid="4" name="ICV">
    <vt:lpwstr>31005C6677A94097B00F3E37CA9FC0F6_13</vt:lpwstr>
  </property>
</Properties>
</file>