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E9B4C">
      <w:pPr>
        <w:rPr>
          <w:color w:val="000000" w:themeColor="text1"/>
          <w:highlight w:val="none"/>
          <w14:textFill>
            <w14:solidFill>
              <w14:schemeClr w14:val="tx1"/>
            </w14:solidFill>
          </w14:textFill>
        </w:rPr>
      </w:pPr>
    </w:p>
    <w:p w14:paraId="739CD047">
      <w:pPr>
        <w:jc w:val="right"/>
        <w:rPr>
          <w:color w:val="000000" w:themeColor="text1"/>
          <w:highlight w:val="none"/>
          <w14:textFill>
            <w14:solidFill>
              <w14:schemeClr w14:val="tx1"/>
            </w14:solidFill>
          </w14:textFill>
        </w:rPr>
      </w:pPr>
    </w:p>
    <w:p w14:paraId="3CF1569E">
      <w:pPr>
        <w:rPr>
          <w:color w:val="000000" w:themeColor="text1"/>
          <w:highlight w:val="none"/>
          <w14:textFill>
            <w14:solidFill>
              <w14:schemeClr w14:val="tx1"/>
            </w14:solidFill>
          </w14:textFill>
        </w:rPr>
      </w:pPr>
    </w:p>
    <w:p w14:paraId="4B1983E2">
      <w:pPr>
        <w:rPr>
          <w:color w:val="000000" w:themeColor="text1"/>
          <w:highlight w:val="none"/>
          <w14:textFill>
            <w14:solidFill>
              <w14:schemeClr w14:val="tx1"/>
            </w14:solidFill>
          </w14:textFill>
        </w:rPr>
      </w:pPr>
    </w:p>
    <w:p w14:paraId="06B36B87">
      <w:pPr>
        <w:rPr>
          <w:color w:val="000000" w:themeColor="text1"/>
          <w:highlight w:val="none"/>
          <w14:textFill>
            <w14:solidFill>
              <w14:schemeClr w14:val="tx1"/>
            </w14:solidFill>
          </w14:textFill>
        </w:rPr>
      </w:pPr>
    </w:p>
    <w:p w14:paraId="5F7AB4CF">
      <w:pPr>
        <w:rPr>
          <w:color w:val="000000" w:themeColor="text1"/>
          <w:highlight w:val="none"/>
          <w14:textFill>
            <w14:solidFill>
              <w14:schemeClr w14:val="tx1"/>
            </w14:solidFill>
          </w14:textFill>
        </w:rPr>
      </w:pPr>
    </w:p>
    <w:p w14:paraId="23F0B256">
      <w:pPr>
        <w:rPr>
          <w:rFonts w:ascii="Times New Roman" w:hAnsi="Times New Roman" w:cs="Arial"/>
          <w:b/>
          <w:color w:val="000000" w:themeColor="text1"/>
          <w:sz w:val="48"/>
          <w:szCs w:val="48"/>
          <w:highlight w:val="none"/>
          <w14:textFill>
            <w14:solidFill>
              <w14:schemeClr w14:val="tx1"/>
            </w14:solidFill>
          </w14:textFill>
        </w:rPr>
      </w:pPr>
    </w:p>
    <w:p w14:paraId="6385CA3B">
      <w:pPr>
        <w:rPr>
          <w:color w:val="000000" w:themeColor="text1"/>
          <w:highlight w:val="none"/>
          <w14:textFill>
            <w14:solidFill>
              <w14:schemeClr w14:val="tx1"/>
            </w14:solidFill>
          </w14:textFill>
        </w:rPr>
      </w:pPr>
    </w:p>
    <w:p w14:paraId="7CC9061C">
      <w:pPr>
        <w:rPr>
          <w:color w:val="000000" w:themeColor="text1"/>
          <w:highlight w:val="none"/>
          <w14:textFill>
            <w14:solidFill>
              <w14:schemeClr w14:val="tx1"/>
            </w14:solidFill>
          </w14:textFill>
        </w:rPr>
      </w:pPr>
    </w:p>
    <w:p w14:paraId="7A62B633">
      <w:pPr>
        <w:jc w:val="center"/>
        <w:rPr>
          <w:color w:val="000000" w:themeColor="text1"/>
          <w:highlight w:val="none"/>
          <w14:textFill>
            <w14:solidFill>
              <w14:schemeClr w14:val="tx1"/>
            </w14:solidFill>
          </w14:textFill>
        </w:rPr>
      </w:pPr>
    </w:p>
    <w:p w14:paraId="0B612BC9">
      <w:pPr>
        <w:jc w:val="center"/>
        <w:rPr>
          <w:rFonts w:ascii="Times New Roman" w:hAnsi="Times New Roman" w:cs="Arial"/>
          <w:b/>
          <w:color w:val="000000" w:themeColor="text1"/>
          <w:sz w:val="52"/>
          <w:szCs w:val="52"/>
          <w:highlight w:val="none"/>
          <w14:textFill>
            <w14:solidFill>
              <w14:schemeClr w14:val="tx1"/>
            </w14:solidFill>
          </w14:textFill>
        </w:rPr>
      </w:pPr>
      <w:r>
        <w:rPr>
          <w:rFonts w:hint="eastAsia" w:ascii="Times New Roman" w:hAnsi="Times New Roman" w:cs="Arial"/>
          <w:b/>
          <w:color w:val="000000" w:themeColor="text1"/>
          <w:sz w:val="52"/>
          <w:szCs w:val="52"/>
          <w:highlight w:val="none"/>
          <w14:textFill>
            <w14:solidFill>
              <w14:schemeClr w14:val="tx1"/>
            </w14:solidFill>
          </w14:textFill>
        </w:rPr>
        <w:t>通用类研发外协服务（202</w:t>
      </w:r>
      <w:r>
        <w:rPr>
          <w:rFonts w:hint="eastAsia" w:cs="Arial"/>
          <w:b/>
          <w:color w:val="000000" w:themeColor="text1"/>
          <w:sz w:val="52"/>
          <w:szCs w:val="52"/>
          <w:highlight w:val="none"/>
          <w:lang w:val="en-US" w:eastAsia="zh-CN"/>
          <w14:textFill>
            <w14:solidFill>
              <w14:schemeClr w14:val="tx1"/>
            </w14:solidFill>
          </w14:textFill>
        </w:rPr>
        <w:t>6</w:t>
      </w:r>
      <w:r>
        <w:rPr>
          <w:rFonts w:hint="eastAsia" w:ascii="Times New Roman" w:hAnsi="Times New Roman" w:cs="Arial"/>
          <w:b/>
          <w:color w:val="000000" w:themeColor="text1"/>
          <w:sz w:val="52"/>
          <w:szCs w:val="52"/>
          <w:highlight w:val="none"/>
          <w14:textFill>
            <w14:solidFill>
              <w14:schemeClr w14:val="tx1"/>
            </w14:solidFill>
          </w14:textFill>
        </w:rPr>
        <w:t>-202</w:t>
      </w:r>
      <w:r>
        <w:rPr>
          <w:rFonts w:hint="eastAsia" w:cs="Arial"/>
          <w:b/>
          <w:color w:val="000000" w:themeColor="text1"/>
          <w:sz w:val="52"/>
          <w:szCs w:val="52"/>
          <w:highlight w:val="none"/>
          <w:lang w:val="en-US" w:eastAsia="zh-CN"/>
          <w14:textFill>
            <w14:solidFill>
              <w14:schemeClr w14:val="tx1"/>
            </w14:solidFill>
          </w14:textFill>
        </w:rPr>
        <w:t>8</w:t>
      </w:r>
      <w:r>
        <w:rPr>
          <w:rFonts w:hint="eastAsia" w:ascii="Times New Roman" w:hAnsi="Times New Roman" w:cs="Arial"/>
          <w:b/>
          <w:color w:val="000000" w:themeColor="text1"/>
          <w:sz w:val="52"/>
          <w:szCs w:val="52"/>
          <w:highlight w:val="none"/>
          <w14:textFill>
            <w14:solidFill>
              <w14:schemeClr w14:val="tx1"/>
            </w14:solidFill>
          </w14:textFill>
        </w:rPr>
        <w:t>）</w:t>
      </w:r>
    </w:p>
    <w:p w14:paraId="61B5C247">
      <w:pPr>
        <w:tabs>
          <w:tab w:val="center" w:pos="4153"/>
          <w:tab w:val="left" w:pos="6090"/>
        </w:tabs>
        <w:jc w:val="left"/>
        <w:rPr>
          <w:rFonts w:ascii="Times New Roman" w:hAnsi="Times New Roman" w:cs="Arial"/>
          <w:b/>
          <w:color w:val="000000" w:themeColor="text1"/>
          <w:sz w:val="52"/>
          <w:szCs w:val="52"/>
          <w:highlight w:val="none"/>
          <w14:textFill>
            <w14:solidFill>
              <w14:schemeClr w14:val="tx1"/>
            </w14:solidFill>
          </w14:textFill>
        </w:rPr>
      </w:pPr>
      <w:r>
        <w:rPr>
          <w:rFonts w:ascii="Times New Roman" w:hAnsi="Times New Roman" w:cs="Arial"/>
          <w:b/>
          <w:color w:val="000000" w:themeColor="text1"/>
          <w:sz w:val="52"/>
          <w:szCs w:val="52"/>
          <w:highlight w:val="none"/>
          <w14:textFill>
            <w14:solidFill>
              <w14:schemeClr w14:val="tx1"/>
            </w14:solidFill>
          </w14:textFill>
        </w:rPr>
        <w:tab/>
      </w:r>
      <w:r>
        <w:rPr>
          <w:rFonts w:ascii="Times New Roman" w:hAnsi="Times New Roman" w:cs="Arial"/>
          <w:b/>
          <w:color w:val="000000" w:themeColor="text1"/>
          <w:sz w:val="52"/>
          <w:szCs w:val="52"/>
          <w:highlight w:val="none"/>
          <w14:textFill>
            <w14:solidFill>
              <w14:schemeClr w14:val="tx1"/>
            </w14:solidFill>
          </w14:textFill>
        </w:rPr>
        <w:t>技术规范书</w:t>
      </w:r>
      <w:r>
        <w:rPr>
          <w:rFonts w:ascii="Times New Roman" w:hAnsi="Times New Roman" w:cs="Arial"/>
          <w:b/>
          <w:color w:val="000000" w:themeColor="text1"/>
          <w:sz w:val="52"/>
          <w:szCs w:val="52"/>
          <w:highlight w:val="none"/>
          <w14:textFill>
            <w14:solidFill>
              <w14:schemeClr w14:val="tx1"/>
            </w14:solidFill>
          </w14:textFill>
        </w:rPr>
        <w:tab/>
      </w:r>
    </w:p>
    <w:p w14:paraId="65017226">
      <w:pPr>
        <w:rPr>
          <w:color w:val="000000" w:themeColor="text1"/>
          <w:highlight w:val="none"/>
          <w14:textFill>
            <w14:solidFill>
              <w14:schemeClr w14:val="tx1"/>
            </w14:solidFill>
          </w14:textFill>
        </w:rPr>
      </w:pPr>
    </w:p>
    <w:p w14:paraId="2904D202">
      <w:pPr>
        <w:rPr>
          <w:color w:val="000000" w:themeColor="text1"/>
          <w:highlight w:val="none"/>
          <w14:textFill>
            <w14:solidFill>
              <w14:schemeClr w14:val="tx1"/>
            </w14:solidFill>
          </w14:textFill>
        </w:rPr>
      </w:pPr>
    </w:p>
    <w:p w14:paraId="632F52AE">
      <w:pPr>
        <w:rPr>
          <w:color w:val="000000" w:themeColor="text1"/>
          <w:highlight w:val="none"/>
          <w14:textFill>
            <w14:solidFill>
              <w14:schemeClr w14:val="tx1"/>
            </w14:solidFill>
          </w14:textFill>
        </w:rPr>
      </w:pPr>
    </w:p>
    <w:p w14:paraId="1C191EDB">
      <w:pPr>
        <w:rPr>
          <w:color w:val="000000" w:themeColor="text1"/>
          <w:highlight w:val="none"/>
          <w14:textFill>
            <w14:solidFill>
              <w14:schemeClr w14:val="tx1"/>
            </w14:solidFill>
          </w14:textFill>
        </w:rPr>
      </w:pPr>
    </w:p>
    <w:p w14:paraId="37A3D368">
      <w:pPr>
        <w:rPr>
          <w:color w:val="000000" w:themeColor="text1"/>
          <w:highlight w:val="none"/>
          <w14:textFill>
            <w14:solidFill>
              <w14:schemeClr w14:val="tx1"/>
            </w14:solidFill>
          </w14:textFill>
        </w:rPr>
      </w:pPr>
    </w:p>
    <w:p w14:paraId="33A566D4">
      <w:pPr>
        <w:rPr>
          <w:color w:val="000000" w:themeColor="text1"/>
          <w:highlight w:val="none"/>
          <w14:textFill>
            <w14:solidFill>
              <w14:schemeClr w14:val="tx1"/>
            </w14:solidFill>
          </w14:textFill>
        </w:rPr>
      </w:pPr>
    </w:p>
    <w:p w14:paraId="1C17C9EC">
      <w:pPr>
        <w:rPr>
          <w:color w:val="000000" w:themeColor="text1"/>
          <w:highlight w:val="none"/>
          <w14:textFill>
            <w14:solidFill>
              <w14:schemeClr w14:val="tx1"/>
            </w14:solidFill>
          </w14:textFill>
        </w:rPr>
      </w:pPr>
    </w:p>
    <w:p w14:paraId="18FAE71D">
      <w:pPr>
        <w:rPr>
          <w:color w:val="000000" w:themeColor="text1"/>
          <w:highlight w:val="none"/>
          <w14:textFill>
            <w14:solidFill>
              <w14:schemeClr w14:val="tx1"/>
            </w14:solidFill>
          </w14:textFill>
        </w:rPr>
      </w:pPr>
    </w:p>
    <w:p w14:paraId="08EF957E">
      <w:pPr>
        <w:rPr>
          <w:color w:val="000000" w:themeColor="text1"/>
          <w:highlight w:val="none"/>
          <w14:textFill>
            <w14:solidFill>
              <w14:schemeClr w14:val="tx1"/>
            </w14:solidFill>
          </w14:textFill>
        </w:rPr>
      </w:pPr>
    </w:p>
    <w:p w14:paraId="2864C3E2">
      <w:pPr>
        <w:rPr>
          <w:color w:val="000000" w:themeColor="text1"/>
          <w:highlight w:val="none"/>
          <w14:textFill>
            <w14:solidFill>
              <w14:schemeClr w14:val="tx1"/>
            </w14:solidFill>
          </w14:textFill>
        </w:rPr>
      </w:pPr>
    </w:p>
    <w:p w14:paraId="1EFCC5E2">
      <w:pPr>
        <w:rPr>
          <w:color w:val="000000" w:themeColor="text1"/>
          <w:highlight w:val="none"/>
          <w14:textFill>
            <w14:solidFill>
              <w14:schemeClr w14:val="tx1"/>
            </w14:solidFill>
          </w14:textFill>
        </w:rPr>
      </w:pPr>
    </w:p>
    <w:p w14:paraId="468A0AA1">
      <w:pPr>
        <w:rPr>
          <w:color w:val="000000" w:themeColor="text1"/>
          <w:highlight w:val="none"/>
          <w14:textFill>
            <w14:solidFill>
              <w14:schemeClr w14:val="tx1"/>
            </w14:solidFill>
          </w14:textFill>
        </w:rPr>
      </w:pPr>
    </w:p>
    <w:p w14:paraId="261FEA4F">
      <w:pPr>
        <w:rPr>
          <w:color w:val="000000" w:themeColor="text1"/>
          <w:highlight w:val="none"/>
          <w14:textFill>
            <w14:solidFill>
              <w14:schemeClr w14:val="tx1"/>
            </w14:solidFill>
          </w14:textFill>
        </w:rPr>
      </w:pPr>
    </w:p>
    <w:p w14:paraId="7126F2F6">
      <w:pPr>
        <w:rPr>
          <w:color w:val="000000" w:themeColor="text1"/>
          <w:highlight w:val="none"/>
          <w14:textFill>
            <w14:solidFill>
              <w14:schemeClr w14:val="tx1"/>
            </w14:solidFill>
          </w14:textFill>
        </w:rPr>
      </w:pPr>
    </w:p>
    <w:p w14:paraId="38AAC655">
      <w:pPr>
        <w:jc w:val="center"/>
        <w:rPr>
          <w:rFonts w:ascii="Times New Roman" w:hAnsi="Times New Roman" w:cs="Arial"/>
          <w:b/>
          <w:bCs/>
          <w:color w:val="000000" w:themeColor="text1"/>
          <w:sz w:val="32"/>
          <w:szCs w:val="32"/>
          <w:highlight w:val="none"/>
          <w14:textFill>
            <w14:solidFill>
              <w14:schemeClr w14:val="tx1"/>
            </w14:solidFill>
          </w14:textFill>
        </w:rPr>
      </w:pPr>
    </w:p>
    <w:p w14:paraId="73E174F7">
      <w:pPr>
        <w:jc w:val="center"/>
        <w:rPr>
          <w:rFonts w:ascii="Times New Roman" w:hAnsi="Times New Roman" w:cs="Arial"/>
          <w:b/>
          <w:bCs/>
          <w:color w:val="000000" w:themeColor="text1"/>
          <w:sz w:val="32"/>
          <w:szCs w:val="32"/>
          <w:highlight w:val="none"/>
          <w14:textFill>
            <w14:solidFill>
              <w14:schemeClr w14:val="tx1"/>
            </w14:solidFill>
          </w14:textFill>
        </w:rPr>
      </w:pPr>
      <w:r>
        <w:rPr>
          <w:rFonts w:hint="eastAsia" w:ascii="Times New Roman" w:hAnsi="Times New Roman" w:cs="Arial"/>
          <w:b/>
          <w:bCs/>
          <w:color w:val="000000" w:themeColor="text1"/>
          <w:sz w:val="32"/>
          <w:szCs w:val="32"/>
          <w:highlight w:val="none"/>
          <w14:textFill>
            <w14:solidFill>
              <w14:schemeClr w14:val="tx1"/>
            </w14:solidFill>
          </w14:textFill>
        </w:rPr>
        <w:t>中移湾区（广东）创新研究院有限公司</w:t>
      </w:r>
    </w:p>
    <w:p w14:paraId="5389B708">
      <w:pPr>
        <w:jc w:val="center"/>
        <w:rPr>
          <w:rFonts w:ascii="Times New Roman" w:hAnsi="Times New Roman" w:cs="Arial"/>
          <w:b/>
          <w:bCs/>
          <w:color w:val="000000" w:themeColor="text1"/>
          <w:sz w:val="32"/>
          <w:szCs w:val="32"/>
          <w:highlight w:val="none"/>
          <w14:textFill>
            <w14:solidFill>
              <w14:schemeClr w14:val="tx1"/>
            </w14:solidFill>
          </w14:textFill>
        </w:rPr>
      </w:pPr>
      <w:r>
        <w:rPr>
          <w:rFonts w:hint="eastAsia" w:ascii="Times New Roman" w:hAnsi="Times New Roman" w:cs="Arial"/>
          <w:b/>
          <w:bCs/>
          <w:color w:val="000000" w:themeColor="text1"/>
          <w:sz w:val="32"/>
          <w:szCs w:val="32"/>
          <w:highlight w:val="none"/>
          <w14:textFill>
            <w14:solidFill>
              <w14:schemeClr w14:val="tx1"/>
            </w14:solidFill>
          </w14:textFill>
        </w:rPr>
        <w:t>202</w:t>
      </w:r>
      <w:r>
        <w:rPr>
          <w:rFonts w:hint="eastAsia" w:ascii="Times New Roman" w:hAnsi="Times New Roman" w:cs="Arial"/>
          <w:b/>
          <w:bCs/>
          <w:color w:val="000000" w:themeColor="text1"/>
          <w:sz w:val="32"/>
          <w:szCs w:val="32"/>
          <w:highlight w:val="none"/>
          <w:lang w:val="en-US" w:eastAsia="zh-CN"/>
          <w14:textFill>
            <w14:solidFill>
              <w14:schemeClr w14:val="tx1"/>
            </w14:solidFill>
          </w14:textFill>
        </w:rPr>
        <w:t>6</w:t>
      </w:r>
      <w:r>
        <w:rPr>
          <w:rFonts w:hint="eastAsia" w:ascii="Times New Roman" w:hAnsi="Times New Roman" w:cs="Arial"/>
          <w:b/>
          <w:bCs/>
          <w:color w:val="000000" w:themeColor="text1"/>
          <w:sz w:val="32"/>
          <w:szCs w:val="32"/>
          <w:highlight w:val="none"/>
          <w14:textFill>
            <w14:solidFill>
              <w14:schemeClr w14:val="tx1"/>
            </w14:solidFill>
          </w14:textFill>
        </w:rPr>
        <w:t>年</w:t>
      </w:r>
      <w:r>
        <w:rPr>
          <w:rFonts w:hint="eastAsia" w:ascii="Times New Roman" w:hAnsi="Times New Roman" w:cs="Arial"/>
          <w:b/>
          <w:bCs/>
          <w:color w:val="000000" w:themeColor="text1"/>
          <w:sz w:val="32"/>
          <w:szCs w:val="32"/>
          <w:highlight w:val="none"/>
          <w:lang w:val="en-US" w:eastAsia="zh-CN"/>
          <w14:textFill>
            <w14:solidFill>
              <w14:schemeClr w14:val="tx1"/>
            </w14:solidFill>
          </w14:textFill>
        </w:rPr>
        <w:t>4</w:t>
      </w:r>
      <w:r>
        <w:rPr>
          <w:rFonts w:hint="eastAsia" w:ascii="Times New Roman" w:hAnsi="Times New Roman" w:cs="Arial"/>
          <w:b/>
          <w:bCs/>
          <w:color w:val="000000" w:themeColor="text1"/>
          <w:sz w:val="32"/>
          <w:szCs w:val="32"/>
          <w:highlight w:val="none"/>
          <w14:textFill>
            <w14:solidFill>
              <w14:schemeClr w14:val="tx1"/>
            </w14:solidFill>
          </w14:textFill>
        </w:rPr>
        <w:t>月</w:t>
      </w:r>
    </w:p>
    <w:p w14:paraId="5CEE7CAE">
      <w:pPr>
        <w:rPr>
          <w:color w:val="000000" w:themeColor="text1"/>
          <w:sz w:val="28"/>
          <w:highlight w:val="none"/>
          <w14:textFill>
            <w14:solidFill>
              <w14:schemeClr w14:val="tx1"/>
            </w14:solidFill>
          </w14:textFill>
        </w:rPr>
      </w:pPr>
    </w:p>
    <w:p w14:paraId="70F89352">
      <w:pPr>
        <w:rPr>
          <w:color w:val="000000" w:themeColor="text1"/>
          <w:highlight w:val="none"/>
          <w14:textFill>
            <w14:solidFill>
              <w14:schemeClr w14:val="tx1"/>
            </w14:solidFill>
          </w14:textFill>
        </w:rPr>
      </w:pPr>
    </w:p>
    <w:p w14:paraId="573F901A">
      <w:pPr>
        <w:rPr>
          <w:color w:val="000000" w:themeColor="text1"/>
          <w:highlight w:val="none"/>
          <w14:textFill>
            <w14:solidFill>
              <w14:schemeClr w14:val="tx1"/>
            </w14:solidFill>
          </w14:textFill>
        </w:rPr>
      </w:pPr>
    </w:p>
    <w:p w14:paraId="20FB07AA">
      <w:pPr>
        <w:rPr>
          <w:color w:val="000000" w:themeColor="text1"/>
          <w:sz w:val="28"/>
          <w:highlight w:val="none"/>
          <w14:textFill>
            <w14:solidFill>
              <w14:schemeClr w14:val="tx1"/>
            </w14:solidFill>
          </w14:textFill>
        </w:rPr>
      </w:pPr>
    </w:p>
    <w:p w14:paraId="1C5C3632">
      <w:pPr>
        <w:rPr>
          <w:color w:val="000000" w:themeColor="text1"/>
          <w:sz w:val="28"/>
          <w:highlight w:val="none"/>
          <w14:textFill>
            <w14:solidFill>
              <w14:schemeClr w14:val="tx1"/>
            </w14:solidFill>
          </w14:textFill>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21A66C82">
      <w:pPr>
        <w:jc w:val="center"/>
        <w:rPr>
          <w:color w:val="000000" w:themeColor="text1"/>
          <w:sz w:val="28"/>
          <w:highlight w:val="none"/>
          <w14:textFill>
            <w14:solidFill>
              <w14:schemeClr w14:val="tx1"/>
            </w14:solidFill>
          </w14:textFill>
        </w:rPr>
      </w:pPr>
      <w:r>
        <w:rPr>
          <w:rFonts w:hint="eastAsia"/>
          <w:color w:val="000000" w:themeColor="text1"/>
          <w:sz w:val="28"/>
          <w:highlight w:val="none"/>
          <w14:textFill>
            <w14:solidFill>
              <w14:schemeClr w14:val="tx1"/>
            </w14:solidFill>
          </w14:textFill>
        </w:rPr>
        <w:t>目   录</w:t>
      </w:r>
    </w:p>
    <w:p w14:paraId="67D93F1B">
      <w:pPr>
        <w:pStyle w:val="22"/>
        <w:tabs>
          <w:tab w:val="right" w:leader="dot" w:pos="8306"/>
        </w:tabs>
        <w:rPr>
          <w:color w:val="000000" w:themeColor="text1"/>
          <w:highlight w:val="none"/>
          <w14:textFill>
            <w14:solidFill>
              <w14:schemeClr w14:val="tx1"/>
            </w14:solidFill>
          </w14:textFill>
        </w:rPr>
      </w:pPr>
      <w:r>
        <w:rPr>
          <w:color w:val="000000" w:themeColor="text1"/>
          <w:sz w:val="24"/>
          <w:highlight w:val="none"/>
          <w14:textFill>
            <w14:solidFill>
              <w14:schemeClr w14:val="tx1"/>
            </w14:solidFill>
          </w14:textFill>
        </w:rPr>
        <w:fldChar w:fldCharType="begin"/>
      </w:r>
      <w:r>
        <w:rPr>
          <w:color w:val="000000" w:themeColor="text1"/>
          <w:sz w:val="24"/>
          <w:highlight w:val="none"/>
          <w14:textFill>
            <w14:solidFill>
              <w14:schemeClr w14:val="tx1"/>
            </w14:solidFill>
          </w14:textFill>
        </w:rPr>
        <w:instrText xml:space="preserve"> TOC \o "1-3" \u </w:instrText>
      </w:r>
      <w:r>
        <w:rPr>
          <w:color w:val="000000" w:themeColor="text1"/>
          <w:sz w:val="24"/>
          <w:highlight w:val="none"/>
          <w14:textFill>
            <w14:solidFill>
              <w14:schemeClr w14:val="tx1"/>
            </w14:solidFill>
          </w14:textFill>
        </w:rPr>
        <w:fldChar w:fldCharType="separate"/>
      </w:r>
      <w:r>
        <w:rPr>
          <w:rFonts w:hint="eastAsia" w:ascii="Times New Roman" w:hAnsi="Times New Roman"/>
          <w:color w:val="000000" w:themeColor="text1"/>
          <w:highlight w:val="none"/>
          <w14:textFill>
            <w14:solidFill>
              <w14:schemeClr w14:val="tx1"/>
            </w14:solidFill>
          </w14:textFill>
        </w:rPr>
        <w:t>1 总则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_Toc4136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p>
    <w:p w14:paraId="0F79F248">
      <w:pPr>
        <w:pStyle w:val="22"/>
        <w:tabs>
          <w:tab w:val="right" w:leader="dot" w:pos="830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 xml:space="preserve">2 </w:t>
      </w:r>
      <w:r>
        <w:rPr>
          <w:rFonts w:ascii="Times New Roman" w:hAnsi="Times New Roman"/>
          <w:color w:val="000000" w:themeColor="text1"/>
          <w:highlight w:val="none"/>
          <w14:textFill>
            <w14:solidFill>
              <w14:schemeClr w14:val="tx1"/>
            </w14:solidFill>
          </w14:textFill>
        </w:rPr>
        <w:t>技术服务内容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_Toc12293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p>
    <w:p w14:paraId="51057E8D">
      <w:pPr>
        <w:pStyle w:val="22"/>
        <w:tabs>
          <w:tab w:val="right" w:leader="dot" w:pos="830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3 技术服务要求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_Toc28572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p>
    <w:p w14:paraId="15E5D2DF">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3.1 技术能力要求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_Toc13570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p>
    <w:p w14:paraId="74366B9A">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3.2 外协技术服务方式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_Toc29506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p>
    <w:p w14:paraId="121E9069">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3.3 外协合作单位要求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_Toc31836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p>
    <w:p w14:paraId="62E6BACF">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ascii="Times New Roman" w:hAnsi="Times New Roman"/>
          <w:color w:val="000000" w:themeColor="text1"/>
          <w:szCs w:val="28"/>
          <w:highlight w:val="none"/>
          <w14:textFill>
            <w14:solidFill>
              <w14:schemeClr w14:val="tx1"/>
            </w14:solidFill>
          </w14:textFill>
        </w:rPr>
        <w:t>3.4 外协人员质量要求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_Toc2033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p>
    <w:p w14:paraId="563BD81C">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ascii="Times New Roman" w:hAnsi="Times New Roman"/>
          <w:color w:val="000000" w:themeColor="text1"/>
          <w:szCs w:val="28"/>
          <w:highlight w:val="none"/>
          <w14:textFill>
            <w14:solidFill>
              <w14:schemeClr w14:val="tx1"/>
            </w14:solidFill>
          </w14:textFill>
        </w:rPr>
        <w:t>3.5 外协工作管理要求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_Toc22841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fldChar w:fldCharType="end"/>
      </w:r>
    </w:p>
    <w:p w14:paraId="23CF95F5">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 xml:space="preserve">3.6 </w:t>
      </w:r>
      <w:r>
        <w:rPr>
          <w:rFonts w:hint="eastAsia" w:ascii="Times New Roman" w:hAnsi="Times New Roman"/>
          <w:color w:val="000000" w:themeColor="text1"/>
          <w:szCs w:val="28"/>
          <w:highlight w:val="none"/>
          <w14:textFill>
            <w14:solidFill>
              <w14:schemeClr w14:val="tx1"/>
            </w14:solidFill>
          </w14:textFill>
        </w:rPr>
        <w:t>工作量核算原则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_Toc3895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p>
    <w:p w14:paraId="713C5863">
      <w:pPr>
        <w:pStyle w:val="22"/>
        <w:tabs>
          <w:tab w:val="right" w:leader="dot" w:pos="830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4 验收标准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_Toc7660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p>
    <w:p w14:paraId="60A68FDB">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4.1 人员</w:t>
      </w:r>
      <w:r>
        <w:rPr>
          <w:rFonts w:hint="eastAsia" w:ascii="Times New Roman" w:hAnsi="Times New Roman"/>
          <w:color w:val="000000" w:themeColor="text1"/>
          <w:highlight w:val="none"/>
          <w:lang w:val="en-US" w:eastAsia="zh-CN"/>
          <w14:textFill>
            <w14:solidFill>
              <w14:schemeClr w14:val="tx1"/>
            </w14:solidFill>
          </w14:textFill>
        </w:rPr>
        <w:t>评价</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_Toc5424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p>
    <w:p w14:paraId="23C553F4">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4.2 </w:t>
      </w:r>
      <w:r>
        <w:rPr>
          <w:rFonts w:hint="eastAsia" w:ascii="Times New Roman"/>
          <w:color w:val="000000" w:themeColor="text1"/>
          <w:kern w:val="2"/>
          <w:szCs w:val="24"/>
          <w:highlight w:val="none"/>
          <w14:textFill>
            <w14:solidFill>
              <w14:schemeClr w14:val="tx1"/>
            </w14:solidFill>
          </w14:textFill>
        </w:rPr>
        <w:t>根据需要，甲方有权对相关评价周期、评价标准等进行变更。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_Toc25831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p>
    <w:p w14:paraId="3B2EA786">
      <w:pPr>
        <w:pStyle w:val="24"/>
        <w:tabs>
          <w:tab w:val="right" w:leader="dot" w:pos="8306"/>
          <w:tab w:val="clear" w:pos="1050"/>
          <w:tab w:val="clear" w:pos="829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4.3 </w:t>
      </w:r>
      <w:r>
        <w:rPr>
          <w:color w:val="000000" w:themeColor="text1"/>
          <w:highlight w:val="none"/>
          <w14:textFill>
            <w14:solidFill>
              <w14:schemeClr w14:val="tx1"/>
            </w14:solidFill>
          </w14:textFill>
        </w:rPr>
        <w:t>供应商</w:t>
      </w:r>
      <w:r>
        <w:rPr>
          <w:rFonts w:hint="eastAsia"/>
          <w:color w:val="000000" w:themeColor="text1"/>
          <w:highlight w:val="none"/>
          <w:lang w:eastAsia="zh-CN"/>
          <w14:textFill>
            <w14:solidFill>
              <w14:schemeClr w14:val="tx1"/>
            </w14:solidFill>
          </w14:textFill>
        </w:rPr>
        <w:t>评价</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_Toc13864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fldChar w:fldCharType="end"/>
      </w:r>
    </w:p>
    <w:p w14:paraId="71F7EB54">
      <w:pPr>
        <w:pStyle w:val="22"/>
        <w:tabs>
          <w:tab w:val="right" w:leader="dot" w:pos="8306"/>
        </w:tabs>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5 </w:t>
      </w:r>
      <w:r>
        <w:rPr>
          <w:rFonts w:hint="default"/>
          <w:color w:val="000000" w:themeColor="text1"/>
          <w:highlight w:val="none"/>
          <w14:textFill>
            <w14:solidFill>
              <w14:schemeClr w14:val="tx1"/>
            </w14:solidFill>
          </w14:textFill>
        </w:rPr>
        <w:t>知识产权</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_Toc7781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p>
    <w:p w14:paraId="1ED4EA64">
      <w:pPr>
        <w:pStyle w:val="22"/>
        <w:tabs>
          <w:tab w:val="right" w:leader="dot" w:pos="8306"/>
        </w:tabs>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6 </w:t>
      </w:r>
      <w:r>
        <w:rPr>
          <w:rFonts w:hint="default"/>
          <w:color w:val="000000" w:themeColor="text1"/>
          <w:highlight w:val="none"/>
          <w14:textFill>
            <w14:solidFill>
              <w14:schemeClr w14:val="tx1"/>
            </w14:solidFill>
          </w14:textFill>
        </w:rPr>
        <w:t>驻点服务</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_Toc14881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p>
    <w:p w14:paraId="7F563693">
      <w:pPr>
        <w:spacing w:line="360" w:lineRule="auto"/>
        <w:jc w:val="center"/>
        <w:rPr>
          <w:color w:val="000000" w:themeColor="text1"/>
          <w:sz w:val="28"/>
          <w:highlight w:val="none"/>
          <w14:textFill>
            <w14:solidFill>
              <w14:schemeClr w14:val="tx1"/>
            </w14:solidFill>
          </w14:textFill>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color w:val="000000" w:themeColor="text1"/>
          <w:highlight w:val="none"/>
          <w14:textFill>
            <w14:solidFill>
              <w14:schemeClr w14:val="tx1"/>
            </w14:solidFill>
          </w14:textFill>
        </w:rPr>
        <w:fldChar w:fldCharType="end"/>
      </w:r>
    </w:p>
    <w:p w14:paraId="31D1EDA5">
      <w:pPr>
        <w:pStyle w:val="3"/>
        <w:rPr>
          <w:rFonts w:ascii="Times New Roman" w:hAnsi="Times New Roman"/>
          <w:color w:val="000000" w:themeColor="text1"/>
          <w:highlight w:val="none"/>
          <w14:textFill>
            <w14:solidFill>
              <w14:schemeClr w14:val="tx1"/>
            </w14:solidFill>
          </w14:textFill>
        </w:rPr>
      </w:pPr>
      <w:bookmarkStart w:id="0" w:name="_Toc104894419"/>
      <w:r>
        <w:rPr>
          <w:rFonts w:hint="eastAsia" w:ascii="Times New Roman" w:hAnsi="Times New Roman"/>
          <w:color w:val="000000" w:themeColor="text1"/>
          <w:highlight w:val="none"/>
          <w14:textFill>
            <w14:solidFill>
              <w14:schemeClr w14:val="tx1"/>
            </w14:solidFill>
          </w14:textFill>
        </w:rPr>
        <w:t xml:space="preserve">  </w:t>
      </w:r>
      <w:bookmarkStart w:id="1" w:name="_Toc5847"/>
      <w:bookmarkStart w:id="2" w:name="_Toc113971720"/>
      <w:bookmarkStart w:id="3" w:name="_Toc4136"/>
      <w:r>
        <w:rPr>
          <w:rFonts w:hint="eastAsia" w:ascii="Times New Roman" w:hAnsi="Times New Roman"/>
          <w:color w:val="000000" w:themeColor="text1"/>
          <w:highlight w:val="none"/>
          <w14:textFill>
            <w14:solidFill>
              <w14:schemeClr w14:val="tx1"/>
            </w14:solidFill>
          </w14:textFill>
        </w:rPr>
        <w:t>总则</w:t>
      </w:r>
      <w:bookmarkEnd w:id="0"/>
      <w:bookmarkEnd w:id="1"/>
      <w:bookmarkEnd w:id="2"/>
      <w:bookmarkEnd w:id="3"/>
    </w:p>
    <w:p w14:paraId="66EF79FF">
      <w:pPr>
        <w:pStyle w:val="15"/>
        <w:spacing w:line="360" w:lineRule="auto"/>
        <w:ind w:firstLine="566" w:firstLineChars="236"/>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本文件为中移湾区（广东）创新研究院有限公司（以下称为“甲方”）对能够提供通用类研发外协服务的供应商单位（以下称为“乙方”）提出的技术规范书。本规范书将作为乙方应答本项目的基础。</w:t>
      </w:r>
    </w:p>
    <w:p w14:paraId="62D2A752">
      <w:pPr>
        <w:pStyle w:val="15"/>
        <w:spacing w:line="360" w:lineRule="auto"/>
        <w:ind w:left="420" w:firstLine="0"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本技术规范书的解释权属于甲方。</w:t>
      </w:r>
    </w:p>
    <w:p w14:paraId="4E75F195">
      <w:pPr>
        <w:pStyle w:val="3"/>
        <w:rPr>
          <w:rFonts w:ascii="Times New Roman" w:hAnsi="Times New Roman"/>
          <w:color w:val="000000" w:themeColor="text1"/>
          <w:highlight w:val="none"/>
          <w14:textFill>
            <w14:solidFill>
              <w14:schemeClr w14:val="tx1"/>
            </w14:solidFill>
          </w14:textFill>
        </w:rPr>
      </w:pPr>
      <w:bookmarkStart w:id="4" w:name="_Toc12293"/>
      <w:bookmarkStart w:id="5" w:name="_Toc25814"/>
      <w:bookmarkStart w:id="6" w:name="_Toc113971722"/>
      <w:r>
        <w:rPr>
          <w:rFonts w:ascii="Times New Roman" w:hAnsi="Times New Roman"/>
          <w:color w:val="000000" w:themeColor="text1"/>
          <w:highlight w:val="none"/>
          <w14:textFill>
            <w14:solidFill>
              <w14:schemeClr w14:val="tx1"/>
            </w14:solidFill>
          </w14:textFill>
        </w:rPr>
        <w:t>技术服务内容</w:t>
      </w:r>
      <w:bookmarkEnd w:id="4"/>
      <w:bookmarkEnd w:id="5"/>
      <w:bookmarkEnd w:id="6"/>
    </w:p>
    <w:p w14:paraId="22731D9A">
      <w:pPr>
        <w:spacing w:line="360" w:lineRule="auto"/>
        <w:ind w:firstLine="566" w:firstLineChars="236"/>
        <w:rPr>
          <w:rFonts w:hint="eastAsia"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为双碳、数据可信流通、低空经济等领域提供全流程技术研发服务，协助需求方完成需求分析、方案设计、开发实施及优化升级等工作，具体包括以下内容：</w:t>
      </w:r>
    </w:p>
    <w:p w14:paraId="2B4D0B71">
      <w:pPr>
        <w:numPr>
          <w:ilvl w:val="0"/>
          <w:numId w:val="7"/>
        </w:numPr>
        <w:spacing w:line="360" w:lineRule="auto"/>
        <w:ind w:left="425" w:leftChars="0" w:hanging="425" w:firstLineChars="0"/>
        <w:rPr>
          <w:rFonts w:hint="default" w:ascii="Times New Roman" w:hAnsi="Times New Roman" w:eastAsia="宋体"/>
          <w:color w:val="000000" w:themeColor="text1"/>
          <w:sz w:val="24"/>
          <w:szCs w:val="21"/>
          <w:highlight w:val="none"/>
          <w:lang w:val="en-US" w:eastAsia="zh-CN"/>
          <w14:textFill>
            <w14:solidFill>
              <w14:schemeClr w14:val="tx1"/>
            </w14:solidFill>
          </w14:textFill>
        </w:rPr>
      </w:pPr>
      <w:r>
        <w:rPr>
          <w:rFonts w:hint="eastAsia"/>
          <w:color w:val="000000" w:themeColor="text1"/>
          <w:sz w:val="24"/>
          <w:szCs w:val="21"/>
          <w:highlight w:val="none"/>
          <w:lang w:val="en-US" w:eastAsia="zh-CN"/>
          <w14:textFill>
            <w14:solidFill>
              <w14:schemeClr w14:val="tx1"/>
            </w14:solidFill>
          </w14:textFill>
        </w:rPr>
        <w:t>需求分析：协助需求方完成需求调研、需求分析、文档编写、业务流程梳理、业务方案编制等工作；</w:t>
      </w:r>
    </w:p>
    <w:p w14:paraId="285C8620">
      <w:pPr>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方案</w:t>
      </w:r>
      <w:r>
        <w:rPr>
          <w:rFonts w:hint="eastAsia"/>
          <w:color w:val="000000" w:themeColor="text1"/>
          <w:sz w:val="24"/>
          <w:szCs w:val="21"/>
          <w:highlight w:val="none"/>
          <w:lang w:val="en-US" w:eastAsia="zh-CN"/>
          <w14:textFill>
            <w14:solidFill>
              <w14:schemeClr w14:val="tx1"/>
            </w14:solidFill>
          </w14:textFill>
        </w:rPr>
        <w:t>设计</w:t>
      </w:r>
      <w:r>
        <w:rPr>
          <w:rFonts w:hint="eastAsia" w:ascii="Times New Roman" w:hAnsi="Times New Roman"/>
          <w:color w:val="000000" w:themeColor="text1"/>
          <w:sz w:val="24"/>
          <w:szCs w:val="21"/>
          <w:highlight w:val="none"/>
          <w14:textFill>
            <w14:solidFill>
              <w14:schemeClr w14:val="tx1"/>
            </w14:solidFill>
          </w14:textFill>
        </w:rPr>
        <w:t>：协助需求方梳理业务场景与技术需求，结合行业特性（如多机器人协同、双碳数据建模、低空巡检等）协助需求方设计系统架构、可行性验证及风险评估。</w:t>
      </w:r>
    </w:p>
    <w:p w14:paraId="4AD7F5D1">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UI/UE设计：协助需求方完成交互场景分析；协助需求方制作高保真原型图、交互设计文档及设计规范；协助需求方优化用户体验，适配多终端（Web/移动端）界面设计。</w:t>
      </w:r>
    </w:p>
    <w:p w14:paraId="70FE8E9A">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Web前端开发：协助需求方完成前端页面开发，支持数据可视化（如碳排放监测大屏、低空飞行态势图、网络状态监测看板）；协助需求方完成兼容性与系统优化、响应式和交互设计、跨端开发等工作；配合后端开发人员完成接口联调与功能联测。</w:t>
      </w:r>
    </w:p>
    <w:p w14:paraId="00261FD3">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后端开发：协助需求方搭建分布式系统架构，完成AI模型应用平台、双碳数智化平台、可信数据空间等非核心业务逻辑开发，比如数据建模、数据库查询与展示、第三方系统对接等；协助需求方设计高可用数据库与API接口。</w:t>
      </w:r>
    </w:p>
    <w:p w14:paraId="627915BB">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测试：协助需求方制定测试计划，完成单元测试、集成测试与系统测试；协助需求方输出测试报告，跟踪问题闭环。</w:t>
      </w:r>
    </w:p>
    <w:p w14:paraId="2FC9EEA8">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系统上线：协助需求方完成系统部署、环境配置与上线发布；协助需求方开展用户培训与操作手册编写；协助需求方监控系统运行状态，完成故障排查与性能调优。</w:t>
      </w:r>
    </w:p>
    <w:p w14:paraId="66E92EB2">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乙方应根据甲方需求，对在技术服务中发现的各类问题及时分析和总结，提供必要的软件质量问题分析、数据统计、报告撰写、产品咨询等服务。</w:t>
      </w:r>
    </w:p>
    <w:p w14:paraId="3996BCCA">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在技术服务开展过程中形成的研发类外协规范、脚本、工具和研发产品等知识产权归中移湾区（广东）创</w:t>
      </w:r>
      <w:r>
        <w:rPr>
          <w:rFonts w:hint="eastAsia" w:ascii="Times New Roman" w:hAnsi="Times New Roman"/>
          <w:color w:val="000000" w:themeColor="text1"/>
          <w:sz w:val="24"/>
          <w:szCs w:val="21"/>
          <w:highlight w:val="none"/>
          <w14:textFill>
            <w14:solidFill>
              <w14:schemeClr w14:val="tx1"/>
            </w14:solidFill>
          </w14:textFill>
        </w:rPr>
        <w:t>新研究院有限公司所有。</w:t>
      </w:r>
    </w:p>
    <w:p w14:paraId="3628A72E">
      <w:pPr>
        <w:pStyle w:val="47"/>
        <w:numPr>
          <w:ilvl w:val="0"/>
          <w:numId w:val="7"/>
        </w:numPr>
        <w:spacing w:line="360" w:lineRule="auto"/>
        <w:ind w:left="425" w:leftChars="0" w:hanging="425" w:firstLineChars="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人员配置说明：</w:t>
      </w:r>
      <w:r>
        <w:rPr>
          <w:rFonts w:hint="eastAsia" w:ascii="Times New Roman" w:hAnsi="Times New Roman"/>
          <w:color w:val="000000" w:themeColor="text1"/>
          <w:sz w:val="24"/>
          <w:szCs w:val="21"/>
          <w:highlight w:val="none"/>
          <w:lang w:val="en-US" w:eastAsia="zh-CN"/>
          <w14:textFill>
            <w14:solidFill>
              <w14:schemeClr w14:val="tx1"/>
            </w14:solidFill>
          </w14:textFill>
        </w:rPr>
        <w:t>需求分</w:t>
      </w:r>
      <w:r>
        <w:rPr>
          <w:rFonts w:hint="eastAsia" w:ascii="Times New Roman" w:hAnsi="Times New Roman"/>
          <w:color w:val="000000" w:themeColor="text1"/>
          <w:sz w:val="24"/>
          <w:szCs w:val="21"/>
          <w:highlight w:val="none"/>
          <w:lang w:val="en-US" w:eastAsia="zh-CN"/>
          <w14:textFill>
            <w14:solidFill>
              <w14:schemeClr w14:val="tx1"/>
            </w14:solidFill>
          </w14:textFill>
        </w:rPr>
        <w:t>析至少</w:t>
      </w:r>
      <w:r>
        <w:rPr>
          <w:rFonts w:hint="eastAsia"/>
          <w:color w:val="000000" w:themeColor="text1"/>
          <w:sz w:val="24"/>
          <w:szCs w:val="21"/>
          <w:highlight w:val="none"/>
          <w:lang w:val="en-US" w:eastAsia="zh-CN"/>
          <w14:textFill>
            <w14:solidFill>
              <w14:schemeClr w14:val="tx1"/>
            </w14:solidFill>
          </w14:textFill>
        </w:rPr>
        <w:t>10</w:t>
      </w:r>
      <w:r>
        <w:rPr>
          <w:rFonts w:hint="eastAsia" w:ascii="Times New Roman" w:hAnsi="Times New Roman"/>
          <w:color w:val="000000" w:themeColor="text1"/>
          <w:sz w:val="24"/>
          <w:szCs w:val="21"/>
          <w:highlight w:val="none"/>
          <w:lang w:val="en-US" w:eastAsia="zh-CN"/>
          <w14:textFill>
            <w14:solidFill>
              <w14:schemeClr w14:val="tx1"/>
            </w14:solidFill>
          </w14:textFill>
        </w:rPr>
        <w:t>人、</w:t>
      </w:r>
      <w:r>
        <w:rPr>
          <w:rFonts w:hint="eastAsia" w:ascii="Times New Roman" w:hAnsi="Times New Roman"/>
          <w:color w:val="000000" w:themeColor="text1"/>
          <w:sz w:val="24"/>
          <w:szCs w:val="21"/>
          <w:highlight w:val="none"/>
          <w14:textFill>
            <w14:solidFill>
              <w14:schemeClr w14:val="tx1"/>
            </w14:solidFill>
          </w14:textFill>
        </w:rPr>
        <w:t>UI/UE设计</w:t>
      </w:r>
      <w:r>
        <w:rPr>
          <w:rFonts w:hint="eastAsia" w:ascii="Times New Roman" w:hAnsi="Times New Roman"/>
          <w:color w:val="000000" w:themeColor="text1"/>
          <w:sz w:val="24"/>
          <w:szCs w:val="21"/>
          <w:highlight w:val="none"/>
          <w:lang w:val="en-US" w:eastAsia="zh-CN"/>
          <w14:textFill>
            <w14:solidFill>
              <w14:schemeClr w14:val="tx1"/>
            </w14:solidFill>
          </w14:textFill>
        </w:rPr>
        <w:t>至少4</w:t>
      </w:r>
      <w:r>
        <w:rPr>
          <w:rFonts w:hint="eastAsia" w:ascii="Times New Roman" w:hAnsi="Times New Roman"/>
          <w:color w:val="000000" w:themeColor="text1"/>
          <w:sz w:val="24"/>
          <w:szCs w:val="21"/>
          <w:highlight w:val="none"/>
          <w14:textFill>
            <w14:solidFill>
              <w14:schemeClr w14:val="tx1"/>
            </w14:solidFill>
          </w14:textFill>
        </w:rPr>
        <w:t>人、前端开发</w:t>
      </w:r>
      <w:r>
        <w:rPr>
          <w:rFonts w:hint="eastAsia" w:ascii="Times New Roman" w:hAnsi="Times New Roman"/>
          <w:color w:val="000000" w:themeColor="text1"/>
          <w:sz w:val="24"/>
          <w:szCs w:val="21"/>
          <w:highlight w:val="none"/>
          <w:lang w:val="en-US" w:eastAsia="zh-CN"/>
          <w14:textFill>
            <w14:solidFill>
              <w14:schemeClr w14:val="tx1"/>
            </w14:solidFill>
          </w14:textFill>
        </w:rPr>
        <w:t>及</w:t>
      </w:r>
      <w:r>
        <w:rPr>
          <w:rFonts w:hint="eastAsia" w:ascii="Times New Roman" w:hAnsi="Times New Roman"/>
          <w:color w:val="000000" w:themeColor="text1"/>
          <w:sz w:val="24"/>
          <w:szCs w:val="21"/>
          <w:highlight w:val="none"/>
          <w14:textFill>
            <w14:solidFill>
              <w14:schemeClr w14:val="tx1"/>
            </w14:solidFill>
          </w14:textFill>
        </w:rPr>
        <w:t>后端开发</w:t>
      </w:r>
      <w:r>
        <w:rPr>
          <w:rFonts w:hint="eastAsia" w:ascii="Times New Roman" w:hAnsi="Times New Roman"/>
          <w:color w:val="000000" w:themeColor="text1"/>
          <w:sz w:val="24"/>
          <w:szCs w:val="21"/>
          <w:highlight w:val="none"/>
          <w:lang w:val="en-US" w:eastAsia="zh-CN"/>
          <w14:textFill>
            <w14:solidFill>
              <w14:schemeClr w14:val="tx1"/>
            </w14:solidFill>
          </w14:textFill>
        </w:rPr>
        <w:t>至少5</w:t>
      </w:r>
      <w:r>
        <w:rPr>
          <w:rFonts w:hint="eastAsia"/>
          <w:color w:val="000000" w:themeColor="text1"/>
          <w:sz w:val="24"/>
          <w:szCs w:val="21"/>
          <w:highlight w:val="none"/>
          <w:lang w:val="en-US" w:eastAsia="zh-CN"/>
          <w14:textFill>
            <w14:solidFill>
              <w14:schemeClr w14:val="tx1"/>
            </w14:solidFill>
          </w14:textFill>
        </w:rPr>
        <w:t>6</w:t>
      </w:r>
      <w:r>
        <w:rPr>
          <w:rFonts w:hint="eastAsia" w:ascii="Times New Roman" w:hAnsi="Times New Roman"/>
          <w:color w:val="000000" w:themeColor="text1"/>
          <w:sz w:val="24"/>
          <w:szCs w:val="21"/>
          <w:highlight w:val="none"/>
          <w14:textFill>
            <w14:solidFill>
              <w14:schemeClr w14:val="tx1"/>
            </w14:solidFill>
          </w14:textFill>
        </w:rPr>
        <w:t>人、测试</w:t>
      </w:r>
      <w:r>
        <w:rPr>
          <w:rFonts w:hint="eastAsia" w:ascii="Times New Roman" w:hAnsi="Times New Roman"/>
          <w:color w:val="000000" w:themeColor="text1"/>
          <w:sz w:val="24"/>
          <w:szCs w:val="21"/>
          <w:highlight w:val="none"/>
          <w:lang w:val="en-US" w:eastAsia="zh-CN"/>
          <w14:textFill>
            <w14:solidFill>
              <w14:schemeClr w14:val="tx1"/>
            </w14:solidFill>
          </w14:textFill>
        </w:rPr>
        <w:t>至少</w:t>
      </w:r>
      <w:r>
        <w:rPr>
          <w:rFonts w:hint="eastAsia" w:ascii="Times New Roman" w:hAnsi="Times New Roman"/>
          <w:color w:val="000000" w:themeColor="text1"/>
          <w:sz w:val="24"/>
          <w:szCs w:val="21"/>
          <w:highlight w:val="none"/>
          <w:lang w:val="en-US" w:eastAsia="zh-CN"/>
          <w14:textFill>
            <w14:solidFill>
              <w14:schemeClr w14:val="tx1"/>
            </w14:solidFill>
          </w14:textFill>
        </w:rPr>
        <w:t>18</w:t>
      </w:r>
      <w:r>
        <w:rPr>
          <w:rFonts w:hint="eastAsia" w:ascii="Times New Roman" w:hAnsi="Times New Roman"/>
          <w:color w:val="000000" w:themeColor="text1"/>
          <w:sz w:val="24"/>
          <w:szCs w:val="21"/>
          <w:highlight w:val="none"/>
          <w14:textFill>
            <w14:solidFill>
              <w14:schemeClr w14:val="tx1"/>
            </w14:solidFill>
          </w14:textFill>
        </w:rPr>
        <w:t>人</w:t>
      </w:r>
      <w:r>
        <w:rPr>
          <w:rFonts w:hint="eastAsia" w:ascii="Times New Roman" w:hAnsi="Times New Roman"/>
          <w:color w:val="000000" w:themeColor="text1"/>
          <w:sz w:val="24"/>
          <w:szCs w:val="21"/>
          <w:highlight w:val="none"/>
          <w14:textFill>
            <w14:solidFill>
              <w14:schemeClr w14:val="tx1"/>
            </w14:solidFill>
          </w14:textFill>
        </w:rPr>
        <w:t>。</w:t>
      </w:r>
    </w:p>
    <w:p w14:paraId="44598D4A">
      <w:pPr>
        <w:pStyle w:val="2"/>
        <w:rPr>
          <w:color w:val="000000" w:themeColor="text1"/>
          <w:highlight w:val="none"/>
          <w14:textFill>
            <w14:solidFill>
              <w14:schemeClr w14:val="tx1"/>
            </w14:solidFill>
          </w14:textFill>
        </w:rPr>
      </w:pPr>
    </w:p>
    <w:p w14:paraId="63D494B5">
      <w:pPr>
        <w:pStyle w:val="3"/>
        <w:rPr>
          <w:rFonts w:ascii="Times New Roman" w:hAnsi="Times New Roman"/>
          <w:color w:val="000000" w:themeColor="text1"/>
          <w:highlight w:val="none"/>
          <w14:textFill>
            <w14:solidFill>
              <w14:schemeClr w14:val="tx1"/>
            </w14:solidFill>
          </w14:textFill>
        </w:rPr>
      </w:pPr>
      <w:bookmarkStart w:id="7" w:name="_Toc31606"/>
      <w:bookmarkStart w:id="8" w:name="_Toc28572"/>
      <w:bookmarkStart w:id="9" w:name="_Toc113971723"/>
      <w:r>
        <w:rPr>
          <w:rFonts w:hint="eastAsia" w:ascii="Times New Roman" w:hAnsi="Times New Roman"/>
          <w:color w:val="000000" w:themeColor="text1"/>
          <w:highlight w:val="none"/>
          <w14:textFill>
            <w14:solidFill>
              <w14:schemeClr w14:val="tx1"/>
            </w14:solidFill>
          </w14:textFill>
        </w:rPr>
        <w:t>技术服务要求</w:t>
      </w:r>
      <w:bookmarkEnd w:id="7"/>
      <w:bookmarkEnd w:id="8"/>
      <w:bookmarkEnd w:id="9"/>
    </w:p>
    <w:p w14:paraId="3F343791">
      <w:pPr>
        <w:pStyle w:val="4"/>
        <w:rPr>
          <w:rFonts w:ascii="Times New Roman" w:hAnsi="Times New Roman"/>
          <w:color w:val="000000" w:themeColor="text1"/>
          <w:highlight w:val="none"/>
          <w14:textFill>
            <w14:solidFill>
              <w14:schemeClr w14:val="tx1"/>
            </w14:solidFill>
          </w14:textFill>
        </w:rPr>
      </w:pPr>
      <w:bookmarkStart w:id="10" w:name="_Toc113971724"/>
      <w:bookmarkStart w:id="11" w:name="_Toc1003"/>
      <w:bookmarkStart w:id="12" w:name="_Toc13570"/>
      <w:r>
        <w:rPr>
          <w:rFonts w:hint="eastAsia" w:ascii="Times New Roman" w:hAnsi="Times New Roman"/>
          <w:color w:val="000000" w:themeColor="text1"/>
          <w:highlight w:val="none"/>
          <w14:textFill>
            <w14:solidFill>
              <w14:schemeClr w14:val="tx1"/>
            </w14:solidFill>
          </w14:textFill>
        </w:rPr>
        <w:t>技术能力要求</w:t>
      </w:r>
      <w:bookmarkEnd w:id="10"/>
      <w:bookmarkEnd w:id="11"/>
      <w:bookmarkEnd w:id="12"/>
    </w:p>
    <w:p w14:paraId="2C6E2818">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乙方提供的研发技术服务人员满足以下基本条件：</w:t>
      </w:r>
    </w:p>
    <w:p w14:paraId="4537827E">
      <w:pPr>
        <w:pStyle w:val="48"/>
        <w:numPr>
          <w:ilvl w:val="0"/>
          <w:numId w:val="8"/>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大学专科及以上学历</w:t>
      </w:r>
      <w:r>
        <w:rPr>
          <w:rFonts w:hint="eastAsia" w:ascii="Times New Roman" w:hAnsi="Times New Roman"/>
          <w:color w:val="000000" w:themeColor="text1"/>
          <w:highlight w:val="none"/>
          <w:lang w:eastAsia="zh-CN"/>
          <w14:textFill>
            <w14:solidFill>
              <w14:schemeClr w14:val="tx1"/>
            </w14:solidFill>
          </w14:textFill>
        </w:rPr>
        <w:t>，通信、</w:t>
      </w:r>
      <w:r>
        <w:rPr>
          <w:rFonts w:hint="eastAsia" w:ascii="Times New Roman" w:hAnsi="Times New Roman"/>
          <w:color w:val="000000" w:themeColor="text1"/>
          <w:highlight w:val="none"/>
          <w:lang w:val="en-US" w:eastAsia="zh-CN"/>
          <w14:textFill>
            <w14:solidFill>
              <w14:schemeClr w14:val="tx1"/>
            </w14:solidFill>
          </w14:textFill>
        </w:rPr>
        <w:t>信息</w:t>
      </w:r>
      <w:r>
        <w:rPr>
          <w:rFonts w:hint="eastAsia" w:ascii="Times New Roman" w:hAnsi="Times New Roman"/>
          <w:color w:val="000000" w:themeColor="text1"/>
          <w:highlight w:val="none"/>
          <w:lang w:eastAsia="zh-CN"/>
          <w14:textFill>
            <w14:solidFill>
              <w14:schemeClr w14:val="tx1"/>
            </w14:solidFill>
          </w14:textFill>
        </w:rPr>
        <w:t>、</w:t>
      </w:r>
      <w:r>
        <w:rPr>
          <w:rFonts w:hint="eastAsia" w:ascii="Times New Roman" w:hAnsi="Times New Roman"/>
          <w:color w:val="000000" w:themeColor="text1"/>
          <w:highlight w:val="none"/>
          <w:lang w:val="en-US" w:eastAsia="zh-CN"/>
          <w14:textFill>
            <w14:solidFill>
              <w14:schemeClr w14:val="tx1"/>
            </w14:solidFill>
          </w14:textFill>
        </w:rPr>
        <w:t>网络、电子</w:t>
      </w:r>
      <w:r>
        <w:rPr>
          <w:rFonts w:hint="eastAsia" w:ascii="Times New Roman" w:hAnsi="Times New Roman"/>
          <w:color w:val="000000" w:themeColor="text1"/>
          <w:highlight w:val="none"/>
          <w:lang w:eastAsia="zh-CN"/>
          <w14:textFill>
            <w14:solidFill>
              <w14:schemeClr w14:val="tx1"/>
            </w14:solidFill>
          </w14:textFill>
        </w:rPr>
        <w:t>、</w:t>
      </w:r>
      <w:r>
        <w:rPr>
          <w:rFonts w:hint="eastAsia" w:ascii="Times New Roman" w:hAnsi="Times New Roman"/>
          <w:color w:val="000000" w:themeColor="text1"/>
          <w:highlight w:val="none"/>
          <w:lang w:val="en-US" w:eastAsia="zh-CN"/>
          <w14:textFill>
            <w14:solidFill>
              <w14:schemeClr w14:val="tx1"/>
            </w14:solidFill>
          </w14:textFill>
        </w:rPr>
        <w:t>计</w:t>
      </w:r>
      <w:r>
        <w:rPr>
          <w:rFonts w:hint="eastAsia" w:ascii="Times New Roman" w:hAnsi="Times New Roman"/>
          <w:color w:val="000000" w:themeColor="text1"/>
          <w:highlight w:val="none"/>
          <w:lang w:eastAsia="zh-CN"/>
          <w14:textFill>
            <w14:solidFill>
              <w14:schemeClr w14:val="tx1"/>
            </w14:solidFill>
          </w14:textFill>
        </w:rPr>
        <w:t>算机、</w:t>
      </w:r>
      <w:r>
        <w:rPr>
          <w:rFonts w:hint="eastAsia" w:ascii="Times New Roman" w:hAnsi="Times New Roman"/>
          <w:color w:val="000000" w:themeColor="text1"/>
          <w:highlight w:val="none"/>
          <w:lang w:val="en-US" w:eastAsia="zh-CN"/>
          <w14:textFill>
            <w14:solidFill>
              <w14:schemeClr w14:val="tx1"/>
            </w14:solidFill>
          </w14:textFill>
        </w:rPr>
        <w:t>软件、</w:t>
      </w:r>
      <w:r>
        <w:rPr>
          <w:rFonts w:hint="eastAsia" w:ascii="Times New Roman" w:hAnsi="Times New Roman"/>
          <w:color w:val="000000" w:themeColor="text1"/>
          <w:highlight w:val="none"/>
          <w:lang w:eastAsia="zh-CN"/>
          <w14:textFill>
            <w14:solidFill>
              <w14:schemeClr w14:val="tx1"/>
            </w14:solidFill>
          </w14:textFill>
        </w:rPr>
        <w:t>物</w:t>
      </w:r>
      <w:r>
        <w:rPr>
          <w:rFonts w:hint="eastAsia" w:ascii="Times New Roman" w:hAnsi="Times New Roman"/>
          <w:color w:val="000000" w:themeColor="text1"/>
          <w:highlight w:val="none"/>
          <w:lang w:val="en-US" w:eastAsia="zh-CN"/>
          <w14:textFill>
            <w14:solidFill>
              <w14:schemeClr w14:val="tx1"/>
            </w14:solidFill>
          </w14:textFill>
        </w:rPr>
        <w:t>联网</w:t>
      </w:r>
      <w:r>
        <w:rPr>
          <w:rFonts w:hint="eastAsia" w:ascii="Times New Roman" w:hAnsi="Times New Roman"/>
          <w:color w:val="000000" w:themeColor="text1"/>
          <w:highlight w:val="none"/>
          <w:lang w:eastAsia="zh-CN"/>
          <w14:textFill>
            <w14:solidFill>
              <w14:schemeClr w14:val="tx1"/>
            </w14:solidFill>
          </w14:textFill>
        </w:rPr>
        <w:t>、自动化</w:t>
      </w:r>
      <w:r>
        <w:rPr>
          <w:rFonts w:hint="eastAsia" w:ascii="Times New Roman" w:hAnsi="Times New Roman"/>
          <w:color w:val="000000" w:themeColor="text1"/>
          <w:highlight w:val="none"/>
          <w:lang w:val="en-US" w:eastAsia="zh-CN"/>
          <w14:textFill>
            <w14:solidFill>
              <w14:schemeClr w14:val="tx1"/>
            </w14:solidFill>
          </w14:textFill>
        </w:rPr>
        <w:t>、</w:t>
      </w:r>
      <w:r>
        <w:rPr>
          <w:rFonts w:hint="eastAsia" w:ascii="Times New Roman" w:hAnsi="Times New Roman"/>
          <w:color w:val="000000" w:themeColor="text1"/>
          <w:highlight w:val="none"/>
          <w:lang w:eastAsia="zh-CN"/>
          <w14:textFill>
            <w14:solidFill>
              <w14:schemeClr w14:val="tx1"/>
            </w14:solidFill>
          </w14:textFill>
        </w:rPr>
        <w:t>人工智能、</w:t>
      </w:r>
      <w:r>
        <w:rPr>
          <w:rFonts w:hint="eastAsia" w:ascii="Times New Roman" w:hAnsi="Times New Roman"/>
          <w:color w:val="000000" w:themeColor="text1"/>
          <w:highlight w:val="none"/>
          <w:lang w:val="en-US" w:eastAsia="zh-CN"/>
          <w14:textFill>
            <w14:solidFill>
              <w14:schemeClr w14:val="tx1"/>
            </w14:solidFill>
          </w14:textFill>
        </w:rPr>
        <w:t>安全、工业设计</w:t>
      </w:r>
      <w:r>
        <w:rPr>
          <w:rFonts w:hint="eastAsia" w:ascii="Times New Roman" w:hAnsi="Times New Roman"/>
          <w:color w:val="000000" w:themeColor="text1"/>
          <w:highlight w:val="none"/>
          <w:lang w:eastAsia="zh-CN"/>
          <w14:textFill>
            <w14:solidFill>
              <w14:schemeClr w14:val="tx1"/>
            </w14:solidFill>
          </w14:textFill>
        </w:rPr>
        <w:t>、</w:t>
      </w:r>
      <w:r>
        <w:rPr>
          <w:rFonts w:hint="eastAsia" w:ascii="Times New Roman" w:hAnsi="Times New Roman"/>
          <w:color w:val="000000" w:themeColor="text1"/>
          <w:highlight w:val="none"/>
          <w:lang w:val="en-US" w:eastAsia="zh-CN"/>
          <w14:textFill>
            <w14:solidFill>
              <w14:schemeClr w14:val="tx1"/>
            </w14:solidFill>
          </w14:textFill>
        </w:rPr>
        <w:t>电子商务、</w:t>
      </w:r>
      <w:r>
        <w:rPr>
          <w:rFonts w:ascii="宋体" w:hAnsi="宋体" w:eastAsia="宋体" w:cs="宋体"/>
          <w:color w:val="000000" w:themeColor="text1"/>
          <w:sz w:val="24"/>
          <w:szCs w:val="24"/>
          <w:highlight w:val="none"/>
          <w14:textFill>
            <w14:solidFill>
              <w14:schemeClr w14:val="tx1"/>
            </w14:solidFill>
          </w14:textFill>
        </w:rPr>
        <w:t>数字媒体</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视觉传达</w:t>
      </w:r>
      <w:r>
        <w:rPr>
          <w:rFonts w:hint="eastAsia" w:ascii="Times New Roman" w:hAnsi="Times New Roman"/>
          <w:color w:val="000000" w:themeColor="text1"/>
          <w:highlight w:val="none"/>
          <w:lang w:eastAsia="zh-CN"/>
          <w14:textFill>
            <w14:solidFill>
              <w14:schemeClr w14:val="tx1"/>
            </w14:solidFill>
          </w14:textFill>
        </w:rPr>
        <w:t>等</w:t>
      </w:r>
      <w:r>
        <w:rPr>
          <w:rFonts w:hint="eastAsia" w:ascii="Times New Roman" w:hAnsi="Times New Roman"/>
          <w:color w:val="000000" w:themeColor="text1"/>
          <w:highlight w:val="none"/>
          <w:lang w:val="en-US" w:eastAsia="zh-CN"/>
          <w14:textFill>
            <w14:solidFill>
              <w14:schemeClr w14:val="tx1"/>
            </w14:solidFill>
          </w14:textFill>
        </w:rPr>
        <w:t>相关专</w:t>
      </w:r>
      <w:r>
        <w:rPr>
          <w:rFonts w:hint="eastAsia" w:ascii="Times New Roman" w:hAnsi="Times New Roman"/>
          <w:color w:val="000000" w:themeColor="text1"/>
          <w:highlight w:val="none"/>
          <w:lang w:eastAsia="zh-CN"/>
          <w14:textFill>
            <w14:solidFill>
              <w14:schemeClr w14:val="tx1"/>
            </w14:solidFill>
          </w14:textFill>
        </w:rPr>
        <w:t>业</w:t>
      </w:r>
      <w:r>
        <w:rPr>
          <w:rFonts w:hint="eastAsia" w:ascii="Times New Roman" w:hAnsi="Times New Roman"/>
          <w:color w:val="000000" w:themeColor="text1"/>
          <w:highlight w:val="none"/>
          <w:lang w:val="en-US" w:eastAsia="zh-CN"/>
          <w14:textFill>
            <w14:solidFill>
              <w14:schemeClr w14:val="tx1"/>
            </w14:solidFill>
          </w14:textFill>
        </w:rPr>
        <w:t>优先</w:t>
      </w:r>
      <w:r>
        <w:rPr>
          <w:rFonts w:hint="eastAsia" w:ascii="Times New Roman" w:hAnsi="Times New Roman"/>
          <w:color w:val="000000" w:themeColor="text1"/>
          <w:highlight w:val="none"/>
          <w14:textFill>
            <w14:solidFill>
              <w14:schemeClr w14:val="tx1"/>
            </w14:solidFill>
          </w14:textFill>
        </w:rPr>
        <w:t>；</w:t>
      </w:r>
    </w:p>
    <w:p w14:paraId="5AAB0573">
      <w:pPr>
        <w:pStyle w:val="48"/>
        <w:numPr>
          <w:ilvl w:val="0"/>
          <w:numId w:val="8"/>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热爱软件开发工作，熟悉软件工程理论，熟悉软件开发流程；</w:t>
      </w:r>
      <w:r>
        <w:rPr>
          <w:rFonts w:ascii="Times New Roman" w:hAnsi="Times New Roman"/>
          <w:color w:val="000000" w:themeColor="text1"/>
          <w:highlight w:val="none"/>
          <w14:textFill>
            <w14:solidFill>
              <w14:schemeClr w14:val="tx1"/>
            </w14:solidFill>
          </w14:textFill>
        </w:rPr>
        <w:t xml:space="preserve"> </w:t>
      </w:r>
    </w:p>
    <w:p w14:paraId="3C70EB2F">
      <w:pPr>
        <w:pStyle w:val="48"/>
        <w:numPr>
          <w:ilvl w:val="0"/>
          <w:numId w:val="8"/>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熟悉软件质量管理知识和能够按要求进行相关文档的编写；</w:t>
      </w:r>
    </w:p>
    <w:p w14:paraId="523EA45C">
      <w:pPr>
        <w:pStyle w:val="48"/>
        <w:numPr>
          <w:ilvl w:val="0"/>
          <w:numId w:val="8"/>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熟悉</w:t>
      </w:r>
      <w:r>
        <w:rPr>
          <w:rFonts w:ascii="Times New Roman" w:hAnsi="Times New Roman"/>
          <w:color w:val="000000" w:themeColor="text1"/>
          <w:highlight w:val="none"/>
          <w14:textFill>
            <w14:solidFill>
              <w14:schemeClr w14:val="tx1"/>
            </w14:solidFill>
          </w14:textFill>
        </w:rPr>
        <w:t>Windows server</w:t>
      </w:r>
      <w:r>
        <w:rPr>
          <w:rFonts w:hint="eastAsia" w:ascii="Times New Roman" w:hAnsi="Times New Roman"/>
          <w:color w:val="000000" w:themeColor="text1"/>
          <w:highlight w:val="none"/>
          <w14:textFill>
            <w14:solidFill>
              <w14:schemeClr w14:val="tx1"/>
            </w14:solidFill>
          </w14:textFill>
        </w:rPr>
        <w:t>、</w:t>
      </w:r>
      <w:r>
        <w:rPr>
          <w:rFonts w:ascii="Times New Roman" w:hAnsi="Times New Roman"/>
          <w:color w:val="000000" w:themeColor="text1"/>
          <w:highlight w:val="none"/>
          <w14:textFill>
            <w14:solidFill>
              <w14:schemeClr w14:val="tx1"/>
            </w14:solidFill>
          </w14:textFill>
        </w:rPr>
        <w:t>Linux</w:t>
      </w:r>
      <w:r>
        <w:rPr>
          <w:rFonts w:hint="eastAsia" w:ascii="Times New Roman" w:hAnsi="Times New Roman"/>
          <w:color w:val="000000" w:themeColor="text1"/>
          <w:highlight w:val="none"/>
          <w14:textFill>
            <w14:solidFill>
              <w14:schemeClr w14:val="tx1"/>
            </w14:solidFill>
          </w14:textFill>
        </w:rPr>
        <w:t>操作系统基础原理及常用命令和工具；</w:t>
      </w:r>
    </w:p>
    <w:p w14:paraId="68CF6355">
      <w:pPr>
        <w:pStyle w:val="48"/>
        <w:numPr>
          <w:ilvl w:val="0"/>
          <w:numId w:val="8"/>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擅长至少一种开发技术与编程语言：</w:t>
      </w:r>
      <w:r>
        <w:rPr>
          <w:rFonts w:ascii="Times New Roman" w:hAnsi="Times New Roman"/>
          <w:color w:val="000000" w:themeColor="text1"/>
          <w:highlight w:val="none"/>
          <w14:textFill>
            <w14:solidFill>
              <w14:schemeClr w14:val="tx1"/>
            </w14:solidFill>
          </w14:textFill>
        </w:rPr>
        <w:t>JAVA</w:t>
      </w:r>
      <w:r>
        <w:rPr>
          <w:rFonts w:hint="eastAsia" w:ascii="Times New Roman" w:hAnsi="Times New Roman"/>
          <w:color w:val="000000" w:themeColor="text1"/>
          <w:highlight w:val="none"/>
          <w14:textFill>
            <w14:solidFill>
              <w14:schemeClr w14:val="tx1"/>
            </w14:solidFill>
          </w14:textFill>
        </w:rPr>
        <w:t>、</w:t>
      </w:r>
      <w:r>
        <w:rPr>
          <w:rFonts w:hint="eastAsia" w:ascii="Times New Roman" w:hAnsi="Times New Roman"/>
          <w:color w:val="000000" w:themeColor="text1"/>
          <w:highlight w:val="none"/>
          <w:lang w:val="en-US" w:eastAsia="zh-CN"/>
          <w14:textFill>
            <w14:solidFill>
              <w14:schemeClr w14:val="tx1"/>
            </w14:solidFill>
          </w14:textFill>
        </w:rPr>
        <w:t>Kotlin、Scala、</w:t>
      </w:r>
      <w:r>
        <w:rPr>
          <w:rFonts w:ascii="Times New Roman" w:hAnsi="Times New Roman"/>
          <w:color w:val="000000" w:themeColor="text1"/>
          <w:highlight w:val="none"/>
          <w14:textFill>
            <w14:solidFill>
              <w14:schemeClr w14:val="tx1"/>
            </w14:solidFill>
          </w14:textFill>
        </w:rPr>
        <w:t>C</w:t>
      </w:r>
      <w:r>
        <w:rPr>
          <w:rFonts w:hint="eastAsia" w:ascii="Times New Roman" w:hAnsi="Times New Roman"/>
          <w:color w:val="000000" w:themeColor="text1"/>
          <w:highlight w:val="none"/>
          <w14:textFill>
            <w14:solidFill>
              <w14:schemeClr w14:val="tx1"/>
            </w14:solidFill>
          </w14:textFill>
        </w:rPr>
        <w:t>、</w:t>
      </w:r>
      <w:r>
        <w:rPr>
          <w:rFonts w:ascii="Times New Roman" w:hAnsi="Times New Roman"/>
          <w:color w:val="000000" w:themeColor="text1"/>
          <w:highlight w:val="none"/>
          <w14:textFill>
            <w14:solidFill>
              <w14:schemeClr w14:val="tx1"/>
            </w14:solidFill>
          </w14:textFill>
        </w:rPr>
        <w:t>C++</w:t>
      </w:r>
      <w:r>
        <w:rPr>
          <w:rFonts w:hint="eastAsia" w:ascii="Times New Roman" w:hAnsi="Times New Roman"/>
          <w:color w:val="000000" w:themeColor="text1"/>
          <w:highlight w:val="none"/>
          <w14:textFill>
            <w14:solidFill>
              <w14:schemeClr w14:val="tx1"/>
            </w14:solidFill>
          </w14:textFill>
        </w:rPr>
        <w:t>、</w:t>
      </w:r>
      <w:r>
        <w:rPr>
          <w:rFonts w:ascii="Times New Roman" w:hAnsi="Times New Roman"/>
          <w:color w:val="000000" w:themeColor="text1"/>
          <w:highlight w:val="none"/>
          <w14:textFill>
            <w14:solidFill>
              <w14:schemeClr w14:val="tx1"/>
            </w14:solidFill>
          </w14:textFill>
        </w:rPr>
        <w:t>Python</w:t>
      </w:r>
      <w:r>
        <w:rPr>
          <w:rFonts w:hint="eastAsia" w:ascii="Times New Roman" w:hAnsi="Times New Roman"/>
          <w:color w:val="000000" w:themeColor="text1"/>
          <w:highlight w:val="none"/>
          <w14:textFill>
            <w14:solidFill>
              <w14:schemeClr w14:val="tx1"/>
            </w14:solidFill>
          </w14:textFill>
        </w:rPr>
        <w:t>、</w:t>
      </w:r>
      <w:r>
        <w:rPr>
          <w:rFonts w:hint="eastAsia" w:ascii="Times New Roman" w:hAnsi="Times New Roman"/>
          <w:color w:val="000000" w:themeColor="text1"/>
          <w:highlight w:val="none"/>
          <w:lang w:val="en-US" w:eastAsia="zh-CN"/>
          <w14:textFill>
            <w14:solidFill>
              <w14:schemeClr w14:val="tx1"/>
            </w14:solidFill>
          </w14:textFill>
        </w:rPr>
        <w:t>Go、</w:t>
      </w:r>
      <w:r>
        <w:rPr>
          <w:rFonts w:ascii="Times New Roman" w:hAnsi="Times New Roman"/>
          <w:color w:val="000000" w:themeColor="text1"/>
          <w:highlight w:val="none"/>
          <w14:textFill>
            <w14:solidFill>
              <w14:schemeClr w14:val="tx1"/>
            </w14:solidFill>
          </w14:textFill>
        </w:rPr>
        <w:t>JavaS</w:t>
      </w:r>
      <w:r>
        <w:rPr>
          <w:rFonts w:ascii="Times New Roman" w:hAnsi="Times New Roman"/>
          <w:color w:val="000000" w:themeColor="text1"/>
          <w:highlight w:val="none"/>
          <w14:textFill>
            <w14:solidFill>
              <w14:schemeClr w14:val="tx1"/>
            </w14:solidFill>
          </w14:textFill>
        </w:rPr>
        <w:t>cript</w:t>
      </w:r>
      <w:r>
        <w:rPr>
          <w:rFonts w:hint="eastAsia" w:ascii="Times New Roman" w:hAnsi="Times New Roman"/>
          <w:color w:val="000000" w:themeColor="text1"/>
          <w:highlight w:val="none"/>
          <w14:textFill>
            <w14:solidFill>
              <w14:schemeClr w14:val="tx1"/>
            </w14:solidFill>
          </w14:textFill>
        </w:rPr>
        <w:t>、</w:t>
      </w:r>
      <w:r>
        <w:rPr>
          <w:rFonts w:ascii="Times New Roman" w:hAnsi="Times New Roman"/>
          <w:color w:val="000000" w:themeColor="text1"/>
          <w:highlight w:val="none"/>
          <w14:textFill>
            <w14:solidFill>
              <w14:schemeClr w14:val="tx1"/>
            </w14:solidFill>
          </w14:textFill>
        </w:rPr>
        <w:t>HTML、CSS</w:t>
      </w:r>
      <w:r>
        <w:rPr>
          <w:rFonts w:hint="eastAsia" w:ascii="Times New Roman" w:hAnsi="Times New Roman"/>
          <w:color w:val="000000" w:themeColor="text1"/>
          <w:highlight w:val="none"/>
          <w:lang w:eastAsia="zh-CN"/>
          <w14:textFill>
            <w14:solidFill>
              <w14:schemeClr w14:val="tx1"/>
            </w14:solidFill>
          </w14:textFill>
        </w:rPr>
        <w:t>、</w:t>
      </w:r>
      <w:r>
        <w:rPr>
          <w:rFonts w:hint="eastAsia" w:ascii="Times New Roman" w:hAnsi="Times New Roman"/>
          <w:color w:val="000000" w:themeColor="text1"/>
          <w:highlight w:val="none"/>
          <w:lang w:val="en-US" w:eastAsia="zh-CN"/>
          <w14:textFill>
            <w14:solidFill>
              <w14:schemeClr w14:val="tx1"/>
            </w14:solidFill>
          </w14:textFill>
        </w:rPr>
        <w:t>Dart</w:t>
      </w:r>
      <w:r>
        <w:rPr>
          <w:rFonts w:hint="eastAsia" w:ascii="Times New Roman" w:hAnsi="Times New Roman"/>
          <w:color w:val="000000" w:themeColor="text1"/>
          <w:highlight w:val="none"/>
          <w14:textFill>
            <w14:solidFill>
              <w14:schemeClr w14:val="tx1"/>
            </w14:solidFill>
          </w14:textFill>
        </w:rPr>
        <w:t>等；</w:t>
      </w:r>
    </w:p>
    <w:p w14:paraId="178A6E1B">
      <w:pPr>
        <w:pStyle w:val="48"/>
        <w:numPr>
          <w:ilvl w:val="0"/>
          <w:numId w:val="8"/>
        </w:numPr>
        <w:spacing w:line="360" w:lineRule="auto"/>
        <w:ind w:firstLineChars="0"/>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熟悉</w:t>
      </w:r>
      <w:r>
        <w:rPr>
          <w:rFonts w:hint="eastAsia" w:ascii="Times New Roman" w:hAnsi="Times New Roman"/>
          <w:color w:val="000000" w:themeColor="text1"/>
          <w:highlight w:val="none"/>
          <w:lang w:val="en-US" w:eastAsia="zh-CN"/>
          <w14:textFill>
            <w14:solidFill>
              <w14:schemeClr w14:val="tx1"/>
            </w14:solidFill>
          </w14:textFill>
        </w:rPr>
        <w:t>G</w:t>
      </w:r>
      <w:r>
        <w:rPr>
          <w:rFonts w:ascii="Times New Roman" w:hAnsi="Times New Roman"/>
          <w:color w:val="000000" w:themeColor="text1"/>
          <w:highlight w:val="none"/>
          <w14:textFill>
            <w14:solidFill>
              <w14:schemeClr w14:val="tx1"/>
            </w14:solidFill>
          </w14:textFill>
        </w:rPr>
        <w:t>it</w:t>
      </w:r>
      <w:r>
        <w:rPr>
          <w:rFonts w:ascii="Times New Roman" w:hAnsi="Times New Roman"/>
          <w:color w:val="000000" w:themeColor="text1"/>
          <w:highlight w:val="none"/>
          <w14:textFill>
            <w14:solidFill>
              <w14:schemeClr w14:val="tx1"/>
            </w14:solidFill>
          </w14:textFill>
        </w:rPr>
        <w:t>等版本管理工具；</w:t>
      </w:r>
    </w:p>
    <w:p w14:paraId="5299EBCB">
      <w:pPr>
        <w:numPr>
          <w:ilvl w:val="0"/>
          <w:numId w:val="8"/>
        </w:numPr>
        <w:spacing w:line="360" w:lineRule="auto"/>
        <w:rPr>
          <w:color w:val="000000" w:themeColor="text1"/>
          <w:sz w:val="24"/>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熟悉</w:t>
      </w:r>
      <w:r>
        <w:rPr>
          <w:rFonts w:ascii="Times New Roman" w:hAnsi="Times New Roman"/>
          <w:color w:val="000000" w:themeColor="text1"/>
          <w:sz w:val="24"/>
          <w:szCs w:val="21"/>
          <w:highlight w:val="none"/>
          <w14:textFill>
            <w14:solidFill>
              <w14:schemeClr w14:val="tx1"/>
            </w14:solidFill>
          </w14:textFill>
        </w:rPr>
        <w:t>MySQL</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Redis等</w:t>
      </w:r>
      <w:r>
        <w:rPr>
          <w:rFonts w:hint="eastAsia" w:ascii="Times New Roman" w:hAnsi="Times New Roman"/>
          <w:color w:val="000000" w:themeColor="text1"/>
          <w:sz w:val="24"/>
          <w:szCs w:val="21"/>
          <w:highlight w:val="none"/>
          <w14:textFill>
            <w14:solidFill>
              <w14:schemeClr w14:val="tx1"/>
            </w14:solidFill>
          </w14:textFill>
        </w:rPr>
        <w:t>主流数据库的部署和使用，并了解数据库性能调优；</w:t>
      </w:r>
    </w:p>
    <w:p w14:paraId="3921A210">
      <w:pPr>
        <w:numPr>
          <w:ilvl w:val="0"/>
          <w:numId w:val="8"/>
        </w:numPr>
        <w:spacing w:line="360" w:lineRule="auto"/>
        <w:rPr>
          <w:color w:val="000000" w:themeColor="text1"/>
          <w:sz w:val="24"/>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熟悉</w:t>
      </w:r>
      <w:r>
        <w:rPr>
          <w:rFonts w:ascii="Times New Roman" w:hAnsi="Times New Roman"/>
          <w:color w:val="000000" w:themeColor="text1"/>
          <w:sz w:val="24"/>
          <w:szCs w:val="21"/>
          <w:highlight w:val="none"/>
          <w14:textFill>
            <w14:solidFill>
              <w14:schemeClr w14:val="tx1"/>
            </w14:solidFill>
          </w14:textFill>
        </w:rPr>
        <w:t>Spring</w:t>
      </w:r>
      <w:r>
        <w:rPr>
          <w:rFonts w:hint="eastAsia" w:ascii="Times New Roman" w:hAnsi="Times New Roman"/>
          <w:color w:val="000000" w:themeColor="text1"/>
          <w:sz w:val="24"/>
          <w:szCs w:val="21"/>
          <w:highlight w:val="none"/>
          <w14:textFill>
            <w14:solidFill>
              <w14:schemeClr w14:val="tx1"/>
            </w14:solidFill>
          </w14:textFill>
        </w:rPr>
        <w:t>等常用</w:t>
      </w:r>
      <w:r>
        <w:rPr>
          <w:rFonts w:ascii="Times New Roman" w:hAnsi="Times New Roman"/>
          <w:color w:val="000000" w:themeColor="text1"/>
          <w:sz w:val="24"/>
          <w:szCs w:val="21"/>
          <w:highlight w:val="none"/>
          <w14:textFill>
            <w14:solidFill>
              <w14:schemeClr w14:val="tx1"/>
            </w14:solidFill>
          </w14:textFill>
        </w:rPr>
        <w:t>J2EE</w:t>
      </w:r>
      <w:r>
        <w:rPr>
          <w:rFonts w:hint="eastAsia" w:ascii="Times New Roman" w:hAnsi="Times New Roman"/>
          <w:color w:val="000000" w:themeColor="text1"/>
          <w:sz w:val="24"/>
          <w:szCs w:val="21"/>
          <w:highlight w:val="none"/>
          <w14:textFill>
            <w14:solidFill>
              <w14:schemeClr w14:val="tx1"/>
            </w14:solidFill>
          </w14:textFill>
        </w:rPr>
        <w:t>开发框架</w:t>
      </w:r>
      <w:r>
        <w:rPr>
          <w:rFonts w:ascii="Times New Roman" w:hAnsi="Times New Roman"/>
          <w:color w:val="000000" w:themeColor="text1"/>
          <w:sz w:val="24"/>
          <w:szCs w:val="21"/>
          <w:highlight w:val="none"/>
          <w14:textFill>
            <w14:solidFill>
              <w14:schemeClr w14:val="tx1"/>
            </w14:solidFill>
          </w14:textFill>
        </w:rPr>
        <w:t>；</w:t>
      </w:r>
      <w:r>
        <w:rPr>
          <w:rFonts w:hint="eastAsia" w:ascii="Times New Roman" w:hAnsi="Times New Roman"/>
          <w:color w:val="000000" w:themeColor="text1"/>
          <w:sz w:val="24"/>
          <w:szCs w:val="21"/>
          <w:highlight w:val="none"/>
          <w14:textFill>
            <w14:solidFill>
              <w14:schemeClr w14:val="tx1"/>
            </w14:solidFill>
          </w14:textFill>
        </w:rPr>
        <w:t>熟悉</w:t>
      </w:r>
      <w:r>
        <w:rPr>
          <w:rFonts w:ascii="Times New Roman" w:hAnsi="Times New Roman"/>
          <w:color w:val="000000" w:themeColor="text1"/>
          <w:sz w:val="24"/>
          <w:szCs w:val="21"/>
          <w:highlight w:val="none"/>
          <w14:textFill>
            <w14:solidFill>
              <w14:schemeClr w14:val="tx1"/>
            </w14:solidFill>
          </w14:textFill>
        </w:rPr>
        <w:t>Springboot</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SpringCloud</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Maven</w:t>
      </w:r>
      <w:r>
        <w:rPr>
          <w:rFonts w:hint="eastAsia" w:ascii="Times New Roman" w:hAnsi="Times New Roman"/>
          <w:color w:val="000000" w:themeColor="text1"/>
          <w:sz w:val="24"/>
          <w:szCs w:val="21"/>
          <w:highlight w:val="none"/>
          <w14:textFill>
            <w14:solidFill>
              <w14:schemeClr w14:val="tx1"/>
            </w14:solidFill>
          </w14:textFill>
        </w:rPr>
        <w:t>；</w:t>
      </w:r>
    </w:p>
    <w:p w14:paraId="5EA392EF">
      <w:pPr>
        <w:numPr>
          <w:ilvl w:val="0"/>
          <w:numId w:val="8"/>
        </w:numPr>
        <w:spacing w:line="360" w:lineRule="auto"/>
        <w:rPr>
          <w:color w:val="000000" w:themeColor="text1"/>
          <w:sz w:val="24"/>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熟悉常用前端开发框架，如</w:t>
      </w:r>
      <w:r>
        <w:rPr>
          <w:rFonts w:ascii="Times New Roman" w:hAnsi="Times New Roman"/>
          <w:color w:val="000000" w:themeColor="text1"/>
          <w:sz w:val="24"/>
          <w:szCs w:val="21"/>
          <w:highlight w:val="none"/>
          <w14:textFill>
            <w14:solidFill>
              <w14:schemeClr w14:val="tx1"/>
            </w14:solidFill>
          </w14:textFill>
        </w:rPr>
        <w:t>Vue</w:t>
      </w:r>
      <w:r>
        <w:rPr>
          <w:rFonts w:hint="eastAsia" w:ascii="Times New Roman" w:hAnsi="Times New Roman"/>
          <w:color w:val="000000" w:themeColor="text1"/>
          <w:sz w:val="24"/>
          <w:szCs w:val="21"/>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React</w:t>
      </w:r>
      <w:r>
        <w:rPr>
          <w:color w:val="000000" w:themeColor="text1"/>
          <w:sz w:val="24"/>
          <w:highlight w:val="none"/>
          <w14:textFill>
            <w14:solidFill>
              <w14:schemeClr w14:val="tx1"/>
            </w14:solidFill>
          </w14:textFill>
        </w:rPr>
        <w:t>等</w:t>
      </w:r>
      <w:r>
        <w:rPr>
          <w:rFonts w:hint="eastAsia"/>
          <w:color w:val="000000" w:themeColor="text1"/>
          <w:sz w:val="24"/>
          <w:highlight w:val="none"/>
          <w14:textFill>
            <w14:solidFill>
              <w14:schemeClr w14:val="tx1"/>
            </w14:solidFill>
          </w14:textFill>
        </w:rPr>
        <w:t>，熟悉ECharts等框架</w:t>
      </w:r>
      <w:r>
        <w:rPr>
          <w:rFonts w:hint="eastAsia" w:ascii="Times New Roman" w:hAnsi="Times New Roman"/>
          <w:color w:val="000000" w:themeColor="text1"/>
          <w:sz w:val="24"/>
          <w:szCs w:val="21"/>
          <w:highlight w:val="none"/>
          <w14:textFill>
            <w14:solidFill>
              <w14:schemeClr w14:val="tx1"/>
            </w14:solidFill>
          </w14:textFill>
        </w:rPr>
        <w:t>；</w:t>
      </w:r>
    </w:p>
    <w:p w14:paraId="74E21D7B">
      <w:pPr>
        <w:numPr>
          <w:ilvl w:val="0"/>
          <w:numId w:val="8"/>
        </w:num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熟悉</w:t>
      </w:r>
      <w:r>
        <w:rPr>
          <w:color w:val="000000" w:themeColor="text1"/>
          <w:sz w:val="24"/>
          <w:highlight w:val="none"/>
          <w14:textFill>
            <w14:solidFill>
              <w14:schemeClr w14:val="tx1"/>
            </w14:solidFill>
          </w14:textFill>
        </w:rPr>
        <w:t>FastApi</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Flask</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Gradio</w:t>
      </w:r>
      <w:r>
        <w:rPr>
          <w:rFonts w:hint="eastAsia"/>
          <w:color w:val="000000" w:themeColor="text1"/>
          <w:sz w:val="24"/>
          <w:highlight w:val="none"/>
          <w14:textFill>
            <w14:solidFill>
              <w14:schemeClr w14:val="tx1"/>
            </w14:solidFill>
          </w14:textFill>
        </w:rPr>
        <w:t>等开发框架；</w:t>
      </w:r>
    </w:p>
    <w:p w14:paraId="4BB5C4EB">
      <w:pPr>
        <w:numPr>
          <w:ilvl w:val="0"/>
          <w:numId w:val="8"/>
        </w:numPr>
        <w:spacing w:line="360" w:lineRule="auto"/>
        <w:rPr>
          <w:color w:val="000000" w:themeColor="text1"/>
          <w:sz w:val="24"/>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熟练使用</w:t>
      </w:r>
      <w:r>
        <w:rPr>
          <w:rFonts w:ascii="Times New Roman" w:hAnsi="Times New Roman"/>
          <w:color w:val="000000" w:themeColor="text1"/>
          <w:sz w:val="24"/>
          <w:szCs w:val="21"/>
          <w:highlight w:val="none"/>
          <w14:textFill>
            <w14:solidFill>
              <w14:schemeClr w14:val="tx1"/>
            </w14:solidFill>
          </w14:textFill>
        </w:rPr>
        <w:t>Shell</w:t>
      </w:r>
      <w:r>
        <w:rPr>
          <w:rFonts w:hint="eastAsia" w:ascii="Times New Roman" w:hAnsi="Times New Roman"/>
          <w:color w:val="000000" w:themeColor="text1"/>
          <w:sz w:val="24"/>
          <w:szCs w:val="21"/>
          <w:highlight w:val="none"/>
          <w14:textFill>
            <w14:solidFill>
              <w14:schemeClr w14:val="tx1"/>
            </w14:solidFill>
          </w14:textFill>
        </w:rPr>
        <w:t>等脚本语言</w:t>
      </w:r>
      <w:r>
        <w:rPr>
          <w:rFonts w:ascii="Times New Roman" w:hAnsi="Times New Roman"/>
          <w:color w:val="000000" w:themeColor="text1"/>
          <w:sz w:val="24"/>
          <w:szCs w:val="21"/>
          <w:highlight w:val="none"/>
          <w14:textFill>
            <w14:solidFill>
              <w14:schemeClr w14:val="tx1"/>
            </w14:solidFill>
          </w14:textFill>
        </w:rPr>
        <w:t>；</w:t>
      </w:r>
    </w:p>
    <w:p w14:paraId="56C00889">
      <w:pPr>
        <w:numPr>
          <w:ilvl w:val="0"/>
          <w:numId w:val="8"/>
        </w:numPr>
        <w:spacing w:line="360" w:lineRule="auto"/>
        <w:rPr>
          <w:color w:val="000000" w:themeColor="text1"/>
          <w:sz w:val="24"/>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熟悉</w:t>
      </w:r>
      <w:r>
        <w:rPr>
          <w:rFonts w:ascii="Times New Roman" w:hAnsi="Times New Roman"/>
          <w:color w:val="000000" w:themeColor="text1"/>
          <w:sz w:val="24"/>
          <w:szCs w:val="21"/>
          <w:highlight w:val="none"/>
          <w14:textFill>
            <w14:solidFill>
              <w14:schemeClr w14:val="tx1"/>
            </w14:solidFill>
          </w14:textFill>
        </w:rPr>
        <w:t>SQL</w:t>
      </w:r>
      <w:r>
        <w:rPr>
          <w:rFonts w:hint="eastAsia" w:ascii="Times New Roman" w:hAnsi="Times New Roman"/>
          <w:color w:val="000000" w:themeColor="text1"/>
          <w:sz w:val="24"/>
          <w:szCs w:val="21"/>
          <w:highlight w:val="none"/>
          <w14:textFill>
            <w14:solidFill>
              <w14:schemeClr w14:val="tx1"/>
            </w14:solidFill>
          </w14:textFill>
        </w:rPr>
        <w:t>语句及</w:t>
      </w:r>
      <w:r>
        <w:rPr>
          <w:rFonts w:ascii="Times New Roman" w:hAnsi="Times New Roman"/>
          <w:color w:val="000000" w:themeColor="text1"/>
          <w:sz w:val="24"/>
          <w:szCs w:val="21"/>
          <w:highlight w:val="none"/>
          <w14:textFill>
            <w14:solidFill>
              <w14:schemeClr w14:val="tx1"/>
            </w14:solidFill>
          </w14:textFill>
        </w:rPr>
        <w:t>Mysql</w:t>
      </w:r>
      <w:r>
        <w:rPr>
          <w:rFonts w:hint="eastAsia" w:ascii="Times New Roman" w:hAnsi="Times New Roman"/>
          <w:color w:val="000000" w:themeColor="text1"/>
          <w:sz w:val="24"/>
          <w:szCs w:val="21"/>
          <w:highlight w:val="none"/>
          <w14:textFill>
            <w14:solidFill>
              <w14:schemeClr w14:val="tx1"/>
            </w14:solidFill>
          </w14:textFill>
        </w:rPr>
        <w:t>等主流数据库常用操作；</w:t>
      </w:r>
    </w:p>
    <w:p w14:paraId="53BFF880">
      <w:pPr>
        <w:numPr>
          <w:ilvl w:val="0"/>
          <w:numId w:val="8"/>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熟悉</w:t>
      </w:r>
      <w:r>
        <w:rPr>
          <w:rFonts w:ascii="Times New Roman" w:hAnsi="Times New Roman"/>
          <w:color w:val="000000" w:themeColor="text1"/>
          <w:sz w:val="24"/>
          <w:szCs w:val="21"/>
          <w:highlight w:val="none"/>
          <w14:textFill>
            <w14:solidFill>
              <w14:schemeClr w14:val="tx1"/>
            </w14:solidFill>
          </w14:textFill>
        </w:rPr>
        <w:t>Hadoop</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Spark</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Flink</w:t>
      </w:r>
      <w:r>
        <w:rPr>
          <w:rFonts w:hint="eastAsia" w:ascii="Times New Roman" w:hAnsi="Times New Roman"/>
          <w:color w:val="000000" w:themeColor="text1"/>
          <w:sz w:val="24"/>
          <w:szCs w:val="21"/>
          <w:highlight w:val="none"/>
          <w14:textFill>
            <w14:solidFill>
              <w14:schemeClr w14:val="tx1"/>
            </w14:solidFill>
          </w14:textFill>
        </w:rPr>
        <w:t>等大数据</w:t>
      </w:r>
      <w:r>
        <w:rPr>
          <w:rFonts w:ascii="Times New Roman" w:hAnsi="Times New Roman"/>
          <w:color w:val="000000" w:themeColor="text1"/>
          <w:sz w:val="24"/>
          <w:szCs w:val="21"/>
          <w:highlight w:val="none"/>
          <w14:textFill>
            <w14:solidFill>
              <w14:schemeClr w14:val="tx1"/>
            </w14:solidFill>
          </w14:textFill>
        </w:rPr>
        <w:t>相关开发技术；</w:t>
      </w:r>
    </w:p>
    <w:p w14:paraId="51D87AE5">
      <w:pPr>
        <w:numPr>
          <w:ilvl w:val="0"/>
          <w:numId w:val="8"/>
        </w:num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熟悉Docker、Kubernetes等容器技术，并有实际使用经验；</w:t>
      </w:r>
    </w:p>
    <w:p w14:paraId="76250A5B">
      <w:pPr>
        <w:numPr>
          <w:ilvl w:val="0"/>
          <w:numId w:val="8"/>
        </w:num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掌握用户界面设计原，熟悉Figma、Sketch、Adobe XD等设计工具；</w:t>
      </w:r>
    </w:p>
    <w:p w14:paraId="0BB6C732">
      <w:pPr>
        <w:numPr>
          <w:ilvl w:val="0"/>
          <w:numId w:val="8"/>
        </w:numPr>
        <w:spacing w:line="360" w:lineRule="auto"/>
        <w:rPr>
          <w:color w:val="000000" w:themeColor="text1"/>
          <w:sz w:val="24"/>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具备</w:t>
      </w:r>
      <w:r>
        <w:rPr>
          <w:rFonts w:ascii="Times New Roman" w:hAnsi="Times New Roman"/>
          <w:color w:val="000000" w:themeColor="text1"/>
          <w:sz w:val="24"/>
          <w:szCs w:val="21"/>
          <w:highlight w:val="none"/>
          <w14:textFill>
            <w14:solidFill>
              <w14:schemeClr w14:val="tx1"/>
            </w14:solidFill>
          </w14:textFill>
        </w:rPr>
        <w:t>VS Code</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Visual Studio</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Idea</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Pycharm等开发工具使用经验；</w:t>
      </w:r>
    </w:p>
    <w:p w14:paraId="0B60ECDA">
      <w:pPr>
        <w:numPr>
          <w:ilvl w:val="0"/>
          <w:numId w:val="8"/>
        </w:numPr>
        <w:spacing w:line="360" w:lineRule="auto"/>
        <w:rPr>
          <w:color w:val="000000" w:themeColor="text1"/>
          <w:sz w:val="24"/>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具备自动化测试经验；</w:t>
      </w:r>
    </w:p>
    <w:p w14:paraId="00898161">
      <w:pPr>
        <w:numPr>
          <w:ilvl w:val="0"/>
          <w:numId w:val="8"/>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熟悉</w:t>
      </w:r>
      <w:r>
        <w:rPr>
          <w:rFonts w:ascii="Times New Roman" w:hAnsi="Times New Roman"/>
          <w:color w:val="000000" w:themeColor="text1"/>
          <w:sz w:val="24"/>
          <w:szCs w:val="21"/>
          <w:highlight w:val="none"/>
          <w14:textFill>
            <w14:solidFill>
              <w14:schemeClr w14:val="tx1"/>
            </w14:solidFill>
          </w14:textFill>
        </w:rPr>
        <w:t>Selenium</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Jmeter</w:t>
      </w:r>
      <w:r>
        <w:rPr>
          <w:rFonts w:hint="eastAsia" w:ascii="Times New Roman" w:hAnsi="Times New Roman"/>
          <w:color w:val="000000" w:themeColor="text1"/>
          <w:sz w:val="24"/>
          <w:szCs w:val="21"/>
          <w:highlight w:val="none"/>
          <w14:textFill>
            <w14:solidFill>
              <w14:schemeClr w14:val="tx1"/>
            </w14:solidFill>
          </w14:textFill>
        </w:rPr>
        <w:t>等测试工具，熟悉</w:t>
      </w:r>
      <w:r>
        <w:rPr>
          <w:rFonts w:ascii="Times New Roman" w:hAnsi="Times New Roman"/>
          <w:color w:val="000000" w:themeColor="text1"/>
          <w:sz w:val="24"/>
          <w:szCs w:val="21"/>
          <w:highlight w:val="none"/>
          <w14:textFill>
            <w14:solidFill>
              <w14:schemeClr w14:val="tx1"/>
            </w14:solidFill>
          </w14:textFill>
        </w:rPr>
        <w:t>Postman</w:t>
      </w:r>
      <w:r>
        <w:rPr>
          <w:rFonts w:hint="eastAsia" w:ascii="Times New Roman" w:hAnsi="Times New Roman"/>
          <w:color w:val="000000" w:themeColor="text1"/>
          <w:sz w:val="24"/>
          <w:szCs w:val="21"/>
          <w:highlight w:val="none"/>
          <w14:textFill>
            <w14:solidFill>
              <w14:schemeClr w14:val="tx1"/>
            </w14:solidFill>
          </w14:textFill>
        </w:rPr>
        <w:t>、</w:t>
      </w:r>
      <w:r>
        <w:rPr>
          <w:rFonts w:ascii="Times New Roman" w:hAnsi="Times New Roman"/>
          <w:color w:val="000000" w:themeColor="text1"/>
          <w:sz w:val="24"/>
          <w:szCs w:val="21"/>
          <w:highlight w:val="none"/>
          <w14:textFill>
            <w14:solidFill>
              <w14:schemeClr w14:val="tx1"/>
            </w14:solidFill>
          </w14:textFill>
        </w:rPr>
        <w:t>ApiFox</w:t>
      </w:r>
      <w:r>
        <w:rPr>
          <w:rFonts w:hint="eastAsia" w:ascii="Times New Roman" w:hAnsi="Times New Roman"/>
          <w:color w:val="000000" w:themeColor="text1"/>
          <w:sz w:val="24"/>
          <w:szCs w:val="21"/>
          <w:highlight w:val="none"/>
          <w14:textFill>
            <w14:solidFill>
              <w14:schemeClr w14:val="tx1"/>
            </w14:solidFill>
          </w14:textFill>
        </w:rPr>
        <w:t>等工具；</w:t>
      </w:r>
    </w:p>
    <w:p w14:paraId="122CE4BF">
      <w:pPr>
        <w:numPr>
          <w:ilvl w:val="0"/>
          <w:numId w:val="8"/>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熟悉无线通信系统，了解</w:t>
      </w:r>
      <w:r>
        <w:rPr>
          <w:rFonts w:ascii="Times New Roman" w:hAnsi="Times New Roman"/>
          <w:color w:val="000000" w:themeColor="text1"/>
          <w:sz w:val="24"/>
          <w:szCs w:val="21"/>
          <w:highlight w:val="none"/>
          <w14:textFill>
            <w14:solidFill>
              <w14:schemeClr w14:val="tx1"/>
            </w14:solidFill>
          </w14:textFill>
        </w:rPr>
        <w:t>5G 3GPP</w:t>
      </w:r>
      <w:r>
        <w:rPr>
          <w:rFonts w:hint="eastAsia" w:ascii="Times New Roman" w:hAnsi="Times New Roman"/>
          <w:color w:val="000000" w:themeColor="text1"/>
          <w:sz w:val="24"/>
          <w:szCs w:val="21"/>
          <w:highlight w:val="none"/>
          <w14:textFill>
            <w14:solidFill>
              <w14:schemeClr w14:val="tx1"/>
            </w14:solidFill>
          </w14:textFill>
        </w:rPr>
        <w:t>协议；</w:t>
      </w:r>
    </w:p>
    <w:p w14:paraId="0F4F2B49">
      <w:pPr>
        <w:numPr>
          <w:ilvl w:val="0"/>
          <w:numId w:val="8"/>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思维清晰严谨，自学能力强，踏实肯干，有工作热情，良好的沟通协调能力；</w:t>
      </w:r>
    </w:p>
    <w:p w14:paraId="52EB5919">
      <w:pPr>
        <w:numPr>
          <w:ilvl w:val="0"/>
          <w:numId w:val="8"/>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工作积极主动，具自主学习心态和能力；富有责任心和创新精神，团队合作能力强。</w:t>
      </w:r>
    </w:p>
    <w:p w14:paraId="148BF5E0">
      <w:pPr>
        <w:pStyle w:val="4"/>
        <w:rPr>
          <w:rFonts w:ascii="Times New Roman" w:hAnsi="Times New Roman"/>
          <w:color w:val="000000" w:themeColor="text1"/>
          <w:highlight w:val="none"/>
          <w14:textFill>
            <w14:solidFill>
              <w14:schemeClr w14:val="tx1"/>
            </w14:solidFill>
          </w14:textFill>
        </w:rPr>
      </w:pPr>
      <w:bookmarkStart w:id="13" w:name="_Toc23289"/>
      <w:bookmarkStart w:id="14" w:name="_Toc29506"/>
      <w:bookmarkStart w:id="15" w:name="_Toc113971725"/>
      <w:r>
        <w:rPr>
          <w:rFonts w:hint="eastAsia" w:ascii="Times New Roman" w:hAnsi="Times New Roman"/>
          <w:color w:val="000000" w:themeColor="text1"/>
          <w:highlight w:val="none"/>
          <w14:textFill>
            <w14:solidFill>
              <w14:schemeClr w14:val="tx1"/>
            </w14:solidFill>
          </w14:textFill>
        </w:rPr>
        <w:t>外协技术服务方式</w:t>
      </w:r>
      <w:bookmarkEnd w:id="13"/>
      <w:bookmarkEnd w:id="14"/>
      <w:bookmarkEnd w:id="15"/>
      <w:bookmarkStart w:id="43" w:name="_GoBack"/>
      <w:bookmarkEnd w:id="43"/>
    </w:p>
    <w:p w14:paraId="6C8F01AE">
      <w:pPr>
        <w:pStyle w:val="48"/>
        <w:numPr>
          <w:ilvl w:val="0"/>
          <w:numId w:val="9"/>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乙方指派的向甲方提供</w:t>
      </w:r>
      <w:r>
        <w:rPr>
          <w:rFonts w:hint="eastAsia" w:ascii="Times New Roman" w:hAnsi="Times New Roman"/>
          <w:color w:val="000000" w:themeColor="text1"/>
          <w:szCs w:val="21"/>
          <w:highlight w:val="none"/>
          <w14:textFill>
            <w14:solidFill>
              <w14:schemeClr w14:val="tx1"/>
            </w14:solidFill>
          </w14:textFill>
        </w:rPr>
        <w:t>研发技术</w:t>
      </w:r>
      <w:r>
        <w:rPr>
          <w:rFonts w:hint="eastAsia" w:ascii="Times New Roman" w:hAnsi="Times New Roman"/>
          <w:color w:val="000000" w:themeColor="text1"/>
          <w:highlight w:val="none"/>
          <w14:textFill>
            <w14:solidFill>
              <w14:schemeClr w14:val="tx1"/>
            </w14:solidFill>
          </w14:textFill>
        </w:rPr>
        <w:t>服务的人员，应在甲方场所或者由甲方指定的场所进行甲方指定的开发等工作任务，乙方负责解决驻场服务相关交通等问题。如需指定乙方场地提供服务，乙方需配合提供驻场场地及配合网络环境搭建及配合接入甲方环境。</w:t>
      </w:r>
    </w:p>
    <w:p w14:paraId="4C8B8EE2">
      <w:pPr>
        <w:pStyle w:val="48"/>
        <w:numPr>
          <w:ilvl w:val="0"/>
          <w:numId w:val="9"/>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根据甲方项目要求，乙方</w:t>
      </w:r>
      <w:r>
        <w:rPr>
          <w:rFonts w:hint="eastAsia" w:ascii="Times New Roman" w:hAnsi="Times New Roman"/>
          <w:color w:val="000000" w:themeColor="text1"/>
          <w:highlight w:val="none"/>
          <w:lang w:val="en-US" w:eastAsia="zh-CN"/>
          <w14:textFill>
            <w14:solidFill>
              <w14:schemeClr w14:val="tx1"/>
            </w14:solidFill>
          </w14:textFill>
        </w:rPr>
        <w:t>应</w:t>
      </w:r>
      <w:r>
        <w:rPr>
          <w:rFonts w:hint="eastAsia" w:ascii="Times New Roman" w:hAnsi="Times New Roman"/>
          <w:color w:val="000000" w:themeColor="text1"/>
          <w:highlight w:val="none"/>
          <w14:textFill>
            <w14:solidFill>
              <w14:schemeClr w14:val="tx1"/>
            </w14:solidFill>
          </w14:textFill>
        </w:rPr>
        <w:t>派驻人员到指定项目现场进行研发和服务，驻场时间视项目要求确定，差旅费用由乙方承担。</w:t>
      </w:r>
    </w:p>
    <w:p w14:paraId="247452DD">
      <w:pPr>
        <w:pStyle w:val="48"/>
        <w:numPr>
          <w:ilvl w:val="0"/>
          <w:numId w:val="9"/>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乙方根据甲方需求，向乙方技术服务人员提供笔记本电脑等相关办公设备。同时，应力所能及满足某些特定项目的特殊工具需求。笔记本电脑必须满足甲方要求，不得以任何名义不提供要求配置的笔记本电脑。</w:t>
      </w:r>
    </w:p>
    <w:p w14:paraId="217F3068">
      <w:pPr>
        <w:pStyle w:val="48"/>
        <w:numPr>
          <w:ilvl w:val="0"/>
          <w:numId w:val="9"/>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乙方技术服务人员应遵守甲方以及甲方客户的工作流程及相关管理规定。</w:t>
      </w:r>
    </w:p>
    <w:p w14:paraId="692FC02C">
      <w:pPr>
        <w:pStyle w:val="48"/>
        <w:numPr>
          <w:ilvl w:val="0"/>
          <w:numId w:val="9"/>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乙方需提供一名商务接口人负责与甲方接洽项目需求、订单签署、工作量确认及项目验收等相关工作，其联系方式（电话、邮箱）应保持固定。若乙方因特殊原因需要变更接口人的，应提前10个工作日以书面形式通知甲方采购及各需求部门。</w:t>
      </w:r>
    </w:p>
    <w:p w14:paraId="556C7CAE">
      <w:pPr>
        <w:numPr>
          <w:ilvl w:val="0"/>
          <w:numId w:val="9"/>
        </w:numPr>
        <w:spacing w:line="360" w:lineRule="auto"/>
        <w:jc w:val="left"/>
        <w:rPr>
          <w:rFonts w:ascii="Times New Roman" w:hAnsi="Times New Roman"/>
          <w:color w:val="000000" w:themeColor="text1"/>
          <w:sz w:val="24"/>
          <w:highlight w:val="none"/>
          <w14:textFill>
            <w14:solidFill>
              <w14:schemeClr w14:val="tx1"/>
            </w14:solidFill>
          </w14:textFill>
        </w:rPr>
      </w:pPr>
      <w:r>
        <w:rPr>
          <w:rFonts w:hint="eastAsia" w:ascii="Times New Roman" w:hAnsi="Times New Roman"/>
          <w:color w:val="000000" w:themeColor="text1"/>
          <w:sz w:val="24"/>
          <w:highlight w:val="none"/>
          <w14:textFill>
            <w14:solidFill>
              <w14:schemeClr w14:val="tx1"/>
            </w14:solidFill>
          </w14:textFill>
        </w:rPr>
        <w:t>根据乙方中选的框架合同份额，每满</w:t>
      </w:r>
      <w:r>
        <w:rPr>
          <w:rFonts w:ascii="Times New Roman" w:hAnsi="Times New Roman"/>
          <w:color w:val="000000" w:themeColor="text1"/>
          <w:sz w:val="24"/>
          <w:highlight w:val="none"/>
          <w14:textFill>
            <w14:solidFill>
              <w14:schemeClr w14:val="tx1"/>
            </w14:solidFill>
          </w14:textFill>
        </w:rPr>
        <w:t>5</w:t>
      </w:r>
      <w:r>
        <w:rPr>
          <w:rFonts w:hint="eastAsia" w:ascii="Times New Roman" w:hAnsi="Times New Roman"/>
          <w:color w:val="000000" w:themeColor="text1"/>
          <w:sz w:val="24"/>
          <w:highlight w:val="none"/>
          <w14:textFill>
            <w14:solidFill>
              <w14:schemeClr w14:val="tx1"/>
            </w14:solidFill>
          </w14:textFill>
        </w:rPr>
        <w:t>00万应免费指派一名综合支撑人员，协助甲方完成现场管理及交付等相关工作。</w:t>
      </w:r>
    </w:p>
    <w:p w14:paraId="0BEF57B0">
      <w:pPr>
        <w:numPr>
          <w:ilvl w:val="0"/>
          <w:numId w:val="9"/>
        </w:numPr>
        <w:spacing w:line="360" w:lineRule="auto"/>
        <w:jc w:val="left"/>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乙方提供的技术服务人员应按团队规模配置技术骨干，每10名技术服务人员中至少配置1名技术骨干</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除须满足技术服务人员的基本要求外，还应熟练掌握多种常用开发语言及主流开发工具，熟悉软件研发管理流程及规范；具备较强的开发、测试能力，能够独立完成复杂模块的设计、实现与验证，独立分析并定位技术问题；具备良好的沟通与协调能力，能够准确理解需求，独立制定模块级实施计划，并带领小型团队高效完成交付。</w:t>
      </w:r>
    </w:p>
    <w:p w14:paraId="7A4FA53A">
      <w:pPr>
        <w:numPr>
          <w:ilvl w:val="0"/>
          <w:numId w:val="9"/>
        </w:numPr>
        <w:spacing w:line="360" w:lineRule="auto"/>
        <w:jc w:val="left"/>
        <w:rPr>
          <w:rFonts w:ascii="Times New Roman" w:hAnsi="Times New Roman"/>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当</w:t>
      </w:r>
      <w:r>
        <w:rPr>
          <w:rFonts w:hint="eastAsia" w:ascii="Times New Roman" w:hAnsi="Times New Roman"/>
          <w:color w:val="000000" w:themeColor="text1"/>
          <w:sz w:val="24"/>
          <w:highlight w:val="none"/>
          <w14:textFill>
            <w14:solidFill>
              <w14:schemeClr w14:val="tx1"/>
            </w14:solidFill>
          </w14:textFill>
        </w:rPr>
        <w:t>框架合同份额</w:t>
      </w:r>
      <w:r>
        <w:rPr>
          <w:rFonts w:hint="eastAsia"/>
          <w:color w:val="000000" w:themeColor="text1"/>
          <w:sz w:val="24"/>
          <w:highlight w:val="none"/>
          <w14:textFill>
            <w14:solidFill>
              <w14:schemeClr w14:val="tx1"/>
            </w14:solidFill>
          </w14:textFill>
        </w:rPr>
        <w:t>每满500万元时，乙方应至少</w:t>
      </w:r>
      <w:r>
        <w:rPr>
          <w:rFonts w:hint="eastAsia"/>
          <w:color w:val="000000" w:themeColor="text1"/>
          <w:sz w:val="24"/>
          <w:highlight w:val="none"/>
          <w:lang w:val="en-US" w:eastAsia="zh-CN"/>
          <w14:textFill>
            <w14:solidFill>
              <w14:schemeClr w14:val="tx1"/>
            </w14:solidFill>
          </w14:textFill>
        </w:rPr>
        <w:t>免费</w:t>
      </w:r>
      <w:r>
        <w:rPr>
          <w:rFonts w:hint="eastAsia"/>
          <w:color w:val="000000" w:themeColor="text1"/>
          <w:sz w:val="24"/>
          <w:highlight w:val="none"/>
          <w14:textFill>
            <w14:solidFill>
              <w14:schemeClr w14:val="tx1"/>
            </w14:solidFill>
          </w14:textFill>
        </w:rPr>
        <w:t>配置1名技术负责人</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除须满足本项目对技术服务人员的基本要求外，还应熟悉相关领域的技术体系与架构，能够主导系统架构设计，在技术选型、架构演进、非功能性需求等方面做出合理决策；在软件研发、技术研究、研发管理领域具备丰富经验，能够指导团队攻克关键技术难题，对成果质量承担技术兜底责任；具备优秀的项目管理、沟通协调与团队协作能力，能够独立制定整体实施计划，统筹资源与风险，具备团队培养与带队交付的实际经验。</w:t>
      </w:r>
    </w:p>
    <w:p w14:paraId="304ACBBC">
      <w:pPr>
        <w:pStyle w:val="4"/>
        <w:rPr>
          <w:rFonts w:ascii="Times New Roman" w:hAnsi="Times New Roman"/>
          <w:color w:val="000000" w:themeColor="text1"/>
          <w:highlight w:val="none"/>
          <w14:textFill>
            <w14:solidFill>
              <w14:schemeClr w14:val="tx1"/>
            </w14:solidFill>
          </w14:textFill>
        </w:rPr>
      </w:pPr>
      <w:bookmarkStart w:id="16" w:name="_Toc113971726"/>
      <w:bookmarkStart w:id="17" w:name="_Toc31836"/>
      <w:bookmarkStart w:id="18" w:name="_Toc17468"/>
      <w:r>
        <w:rPr>
          <w:rFonts w:hint="eastAsia" w:ascii="Times New Roman" w:hAnsi="Times New Roman"/>
          <w:color w:val="000000" w:themeColor="text1"/>
          <w:highlight w:val="none"/>
          <w14:textFill>
            <w14:solidFill>
              <w14:schemeClr w14:val="tx1"/>
            </w14:solidFill>
          </w14:textFill>
        </w:rPr>
        <w:t>外协合作单位要求</w:t>
      </w:r>
      <w:bookmarkEnd w:id="16"/>
      <w:bookmarkEnd w:id="17"/>
      <w:bookmarkEnd w:id="18"/>
    </w:p>
    <w:p w14:paraId="6E6798F9">
      <w:pPr>
        <w:pStyle w:val="48"/>
        <w:numPr>
          <w:ilvl w:val="0"/>
          <w:numId w:val="10"/>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有通讯及互联网相关的大型项目经验，能充分理解客户对于软件研发相关人员素质的要求，能够充分保证研发人员质量。</w:t>
      </w:r>
    </w:p>
    <w:p w14:paraId="72602701">
      <w:pPr>
        <w:pStyle w:val="48"/>
        <w:numPr>
          <w:ilvl w:val="0"/>
          <w:numId w:val="10"/>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有一定的规模和实力，能够保持人员的稳定性以及机动人员数量的需求，离职率不能超过</w:t>
      </w:r>
      <w:r>
        <w:rPr>
          <w:rFonts w:hint="eastAsia" w:ascii="Times New Roman" w:hAnsi="Times New Roman"/>
          <w:color w:val="000000" w:themeColor="text1"/>
          <w:highlight w:val="none"/>
          <w:lang w:val="en-US" w:eastAsia="zh-CN"/>
          <w14:textFill>
            <w14:solidFill>
              <w14:schemeClr w14:val="tx1"/>
            </w14:solidFill>
          </w14:textFill>
        </w:rPr>
        <w:t>2</w:t>
      </w:r>
      <w:r>
        <w:rPr>
          <w:rFonts w:ascii="Times New Roman" w:hAnsi="Times New Roman"/>
          <w:color w:val="000000" w:themeColor="text1"/>
          <w:highlight w:val="none"/>
          <w14:textFill>
            <w14:solidFill>
              <w14:schemeClr w14:val="tx1"/>
            </w14:solidFill>
          </w14:textFill>
        </w:rPr>
        <w:t>5%</w:t>
      </w:r>
      <w:r>
        <w:rPr>
          <w:rFonts w:hint="eastAsia" w:ascii="Times New Roman" w:hAnsi="Times New Roman"/>
          <w:color w:val="000000" w:themeColor="text1"/>
          <w:highlight w:val="none"/>
          <w14:textFill>
            <w14:solidFill>
              <w14:schemeClr w14:val="tx1"/>
            </w14:solidFill>
          </w14:textFill>
        </w:rPr>
        <w:t>。</w:t>
      </w:r>
    </w:p>
    <w:p w14:paraId="3B1A99A8">
      <w:pPr>
        <w:pStyle w:val="48"/>
        <w:numPr>
          <w:ilvl w:val="0"/>
          <w:numId w:val="10"/>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有规范的管理流程和质量控制流程。</w:t>
      </w:r>
    </w:p>
    <w:p w14:paraId="0AFB067F">
      <w:pPr>
        <w:pStyle w:val="48"/>
        <w:numPr>
          <w:ilvl w:val="0"/>
          <w:numId w:val="10"/>
        </w:numPr>
        <w:spacing w:line="360" w:lineRule="auto"/>
        <w:ind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有切实可操作的信息安全解决方案，能够解决甲方因本项目可能涉及的信息安全问题。</w:t>
      </w:r>
    </w:p>
    <w:p w14:paraId="3118DFD4">
      <w:pPr>
        <w:numPr>
          <w:ilvl w:val="0"/>
          <w:numId w:val="10"/>
        </w:numPr>
        <w:spacing w:line="360" w:lineRule="auto"/>
        <w:rPr>
          <w:snapToGrid w:val="0"/>
          <w:color w:val="000000" w:themeColor="text1"/>
          <w:kern w:val="0"/>
          <w:sz w:val="24"/>
          <w:highlight w:val="none"/>
          <w14:textFill>
            <w14:solidFill>
              <w14:schemeClr w14:val="tx1"/>
            </w14:solidFill>
          </w14:textFill>
        </w:rPr>
      </w:pPr>
      <w:r>
        <w:rPr>
          <w:rFonts w:hint="eastAsia"/>
          <w:snapToGrid w:val="0"/>
          <w:color w:val="000000" w:themeColor="text1"/>
          <w:kern w:val="0"/>
          <w:sz w:val="24"/>
          <w:highlight w:val="none"/>
          <w14:textFill>
            <w14:solidFill>
              <w14:schemeClr w14:val="tx1"/>
            </w14:solidFill>
          </w14:textFill>
        </w:rPr>
        <w:t>如甲方驻场条件有限的情况下，应答人可提供经甲方认可的固定办公场所进行集中办公并配合在岗考勤系统连通及管理。</w:t>
      </w:r>
    </w:p>
    <w:p w14:paraId="556A33A8">
      <w:pPr>
        <w:pStyle w:val="4"/>
        <w:rPr>
          <w:rStyle w:val="29"/>
          <w:rFonts w:ascii="Times New Roman" w:hAnsi="Times New Roman"/>
          <w:color w:val="000000" w:themeColor="text1"/>
          <w:szCs w:val="28"/>
          <w:highlight w:val="none"/>
          <w14:textFill>
            <w14:solidFill>
              <w14:schemeClr w14:val="tx1"/>
            </w14:solidFill>
          </w14:textFill>
        </w:rPr>
      </w:pPr>
      <w:bookmarkStart w:id="19" w:name="_Toc15903"/>
      <w:bookmarkStart w:id="20" w:name="_Toc2033"/>
      <w:bookmarkStart w:id="21" w:name="_Toc113971727"/>
      <w:r>
        <w:rPr>
          <w:rStyle w:val="29"/>
          <w:rFonts w:hint="eastAsia" w:ascii="Times New Roman" w:hAnsi="Times New Roman"/>
          <w:color w:val="000000" w:themeColor="text1"/>
          <w:szCs w:val="28"/>
          <w:highlight w:val="none"/>
          <w14:textFill>
            <w14:solidFill>
              <w14:schemeClr w14:val="tx1"/>
            </w14:solidFill>
          </w14:textFill>
        </w:rPr>
        <w:t>外协人员质量要求</w:t>
      </w:r>
      <w:bookmarkEnd w:id="19"/>
      <w:bookmarkEnd w:id="20"/>
      <w:bookmarkEnd w:id="21"/>
    </w:p>
    <w:p w14:paraId="58CEE165">
      <w:pPr>
        <w:pStyle w:val="15"/>
        <w:numPr>
          <w:ilvl w:val="0"/>
          <w:numId w:val="11"/>
        </w:numPr>
        <w:spacing w:line="360" w:lineRule="auto"/>
        <w:ind w:left="0" w:firstLine="0" w:firstLineChars="0"/>
        <w:rPr>
          <w:rFonts w:ascii="Times New Roman" w:hAnsi="Times New Roman"/>
          <w:b/>
          <w:bCs/>
          <w:color w:val="000000" w:themeColor="text1"/>
          <w:sz w:val="24"/>
          <w:szCs w:val="21"/>
          <w:highlight w:val="none"/>
          <w14:textFill>
            <w14:solidFill>
              <w14:schemeClr w14:val="tx1"/>
            </w14:solidFill>
          </w14:textFill>
        </w:rPr>
      </w:pPr>
      <w:r>
        <w:rPr>
          <w:rFonts w:hint="eastAsia" w:ascii="Times New Roman" w:hAnsi="Times New Roman"/>
          <w:b/>
          <w:bCs/>
          <w:color w:val="000000" w:themeColor="text1"/>
          <w:sz w:val="24"/>
          <w:szCs w:val="21"/>
          <w:highlight w:val="none"/>
          <w14:textFill>
            <w14:solidFill>
              <w14:schemeClr w14:val="tx1"/>
            </w14:solidFill>
          </w14:textFill>
        </w:rPr>
        <w:t>外协人员能力要求：</w:t>
      </w:r>
    </w:p>
    <w:p w14:paraId="02332E08">
      <w:pPr>
        <w:spacing w:line="360" w:lineRule="auto"/>
        <w:ind w:firstLine="480" w:firstLineChars="200"/>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在软件研发领域具备丰富经验，熟知各种常用开发语言及工具，能独立判断分析软件问题；具备丰富经验，</w:t>
      </w:r>
      <w:r>
        <w:rPr>
          <w:rFonts w:ascii="Times New Roman" w:hAnsi="Times New Roman"/>
          <w:color w:val="000000" w:themeColor="text1"/>
          <w:sz w:val="24"/>
          <w:szCs w:val="21"/>
          <w:highlight w:val="none"/>
          <w14:textFill>
            <w14:solidFill>
              <w14:schemeClr w14:val="tx1"/>
            </w14:solidFill>
          </w14:textFill>
        </w:rPr>
        <w:t xml:space="preserve"> </w:t>
      </w:r>
      <w:r>
        <w:rPr>
          <w:rFonts w:hint="eastAsia" w:ascii="Times New Roman" w:hAnsi="Times New Roman"/>
          <w:color w:val="000000" w:themeColor="text1"/>
          <w:sz w:val="24"/>
          <w:szCs w:val="21"/>
          <w:highlight w:val="none"/>
          <w14:textFill>
            <w14:solidFill>
              <w14:schemeClr w14:val="tx1"/>
            </w14:solidFill>
          </w14:textFill>
        </w:rPr>
        <w:t>熟悉无线通信系统协议，能独立分析并解决通信问题；沟通能力佳，协调能力强，能胜任组织角色；能很好的理解项目需求，独立制定项目计划，并带领团队负责项目实施。</w:t>
      </w:r>
    </w:p>
    <w:p w14:paraId="24DAAE99">
      <w:pPr>
        <w:pStyle w:val="15"/>
        <w:numPr>
          <w:ilvl w:val="0"/>
          <w:numId w:val="11"/>
        </w:numPr>
        <w:spacing w:line="360" w:lineRule="auto"/>
        <w:ind w:left="0" w:firstLine="0" w:firstLineChars="0"/>
        <w:rPr>
          <w:rFonts w:ascii="Times New Roman" w:hAnsi="Times New Roman"/>
          <w:b/>
          <w:bCs/>
          <w:color w:val="000000" w:themeColor="text1"/>
          <w:sz w:val="24"/>
          <w:szCs w:val="21"/>
          <w:highlight w:val="none"/>
          <w14:textFill>
            <w14:solidFill>
              <w14:schemeClr w14:val="tx1"/>
            </w14:solidFill>
          </w14:textFill>
        </w:rPr>
      </w:pPr>
      <w:r>
        <w:rPr>
          <w:rFonts w:hint="eastAsia" w:ascii="Times New Roman" w:hAnsi="Times New Roman"/>
          <w:b/>
          <w:bCs/>
          <w:color w:val="000000" w:themeColor="text1"/>
          <w:sz w:val="24"/>
          <w:szCs w:val="21"/>
          <w:highlight w:val="none"/>
          <w14:textFill>
            <w14:solidFill>
              <w14:schemeClr w14:val="tx1"/>
            </w14:solidFill>
          </w14:textFill>
        </w:rPr>
        <w:t>外协人员其他要求：</w:t>
      </w:r>
    </w:p>
    <w:p w14:paraId="226A3856">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精通</w:t>
      </w:r>
      <w:r>
        <w:rPr>
          <w:color w:val="000000" w:themeColor="text1"/>
          <w:sz w:val="24"/>
          <w:highlight w:val="none"/>
          <w14:textFill>
            <w14:solidFill>
              <w14:schemeClr w14:val="tx1"/>
            </w14:solidFill>
          </w14:textFill>
        </w:rPr>
        <w:t>Word</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Excel</w:t>
      </w:r>
      <w:r>
        <w:rPr>
          <w:rFonts w:hint="eastAsia"/>
          <w:color w:val="000000" w:themeColor="text1"/>
          <w:sz w:val="24"/>
          <w:highlight w:val="none"/>
          <w14:textFill>
            <w14:solidFill>
              <w14:schemeClr w14:val="tx1"/>
            </w14:solidFill>
          </w14:textFill>
        </w:rPr>
        <w:t>等办公软件使用；具备较强的学习能力，能在较短时间内根据项目需求开展工作；能够按要求如实填写实际工作进度结果，并详细记录和提交研发工作中发现的各类问题；善于沟通、表达清晰，能够就开发中出现的问题与相关人员进行准确的沟通；工作积极主动、认真仔细、责任心强。</w:t>
      </w:r>
    </w:p>
    <w:p w14:paraId="74F4A1C7">
      <w:pPr>
        <w:pStyle w:val="15"/>
        <w:numPr>
          <w:ilvl w:val="0"/>
          <w:numId w:val="11"/>
        </w:numPr>
        <w:spacing w:line="360" w:lineRule="auto"/>
        <w:ind w:left="0" w:firstLine="0" w:firstLineChars="0"/>
        <w:rPr>
          <w:rFonts w:ascii="Times New Roman" w:hAnsi="Times New Roman"/>
          <w:b/>
          <w:bCs/>
          <w:color w:val="000000" w:themeColor="text1"/>
          <w:sz w:val="24"/>
          <w:szCs w:val="21"/>
          <w:highlight w:val="none"/>
          <w14:textFill>
            <w14:solidFill>
              <w14:schemeClr w14:val="tx1"/>
            </w14:solidFill>
          </w14:textFill>
        </w:rPr>
      </w:pPr>
      <w:r>
        <w:rPr>
          <w:rFonts w:hint="eastAsia" w:ascii="Times New Roman" w:hAnsi="Times New Roman"/>
          <w:b/>
          <w:bCs/>
          <w:color w:val="000000" w:themeColor="text1"/>
          <w:sz w:val="24"/>
          <w:szCs w:val="21"/>
          <w:highlight w:val="none"/>
          <w14:textFill>
            <w14:solidFill>
              <w14:schemeClr w14:val="tx1"/>
            </w14:solidFill>
          </w14:textFill>
        </w:rPr>
        <w:t>外协人员合格判定：</w:t>
      </w:r>
    </w:p>
    <w:p w14:paraId="011D1C6C">
      <w:pPr>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外协人员由项目组招聘团队通过笔试、面试和实际操作测试等方式，依据其实际能力判定并双方确认合格与否。外协人员的教育经历及工作经历作为基本条件。</w:t>
      </w:r>
    </w:p>
    <w:p w14:paraId="55BA624A">
      <w:pPr>
        <w:pStyle w:val="4"/>
        <w:rPr>
          <w:rStyle w:val="29"/>
          <w:rFonts w:ascii="Times New Roman" w:hAnsi="Times New Roman"/>
          <w:color w:val="000000" w:themeColor="text1"/>
          <w:szCs w:val="28"/>
          <w:highlight w:val="none"/>
          <w14:textFill>
            <w14:solidFill>
              <w14:schemeClr w14:val="tx1"/>
            </w14:solidFill>
          </w14:textFill>
        </w:rPr>
      </w:pPr>
      <w:bookmarkStart w:id="22" w:name="_Toc113971728"/>
      <w:bookmarkStart w:id="23" w:name="_Toc22841"/>
      <w:bookmarkStart w:id="24" w:name="_Toc27806"/>
      <w:r>
        <w:rPr>
          <w:rStyle w:val="29"/>
          <w:rFonts w:hint="eastAsia" w:ascii="Times New Roman" w:hAnsi="Times New Roman"/>
          <w:color w:val="000000" w:themeColor="text1"/>
          <w:szCs w:val="28"/>
          <w:highlight w:val="none"/>
          <w14:textFill>
            <w14:solidFill>
              <w14:schemeClr w14:val="tx1"/>
            </w14:solidFill>
          </w14:textFill>
        </w:rPr>
        <w:t>外协工作管理要求</w:t>
      </w:r>
      <w:bookmarkEnd w:id="22"/>
      <w:bookmarkEnd w:id="23"/>
      <w:bookmarkEnd w:id="24"/>
    </w:p>
    <w:p w14:paraId="1AF29994">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乙方应严格保证给甲方提供人员的稳定性，如有人员变动，乙方应提前一个月提出申请，并与甲方协商解决。</w:t>
      </w:r>
    </w:p>
    <w:p w14:paraId="5D93AFDB">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乙方应根据甲方提出的人员需求（包含机动人员），在3个工作日内提供待选人员简历，5个工作日内提供符合要求的研发人员；“机动人员”应优先选择已在甲方参与过研发项目的人员（如有）。</w:t>
      </w:r>
    </w:p>
    <w:p w14:paraId="07FF27B6">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乙方应在研发人员进入甲方项目组前做好必要的入职培训工作，对甲方的基本流程和管理要求进行培训。同时甲方会根据岗位要求增加相关的管理/技术类和实际操作培训，培训周期为5个工作日，在此期间，该研发人员的工作量不计入付费工作量。</w:t>
      </w:r>
    </w:p>
    <w:p w14:paraId="3B8246DD">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对于乙方提供的研发人员，如不符合甲方要求，甲方有权提出更换要求。</w:t>
      </w:r>
    </w:p>
    <w:p w14:paraId="57844132">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对于已参加研发项目的外协人员，如甲方发现不符合要求，有权提出更换要求。</w:t>
      </w:r>
    </w:p>
    <w:p w14:paraId="5C1C839F">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乙方提供的研发人员应根据甲方要求，按时按质按量地完成任务。</w:t>
      </w:r>
    </w:p>
    <w:p w14:paraId="2D473783">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r>
        <w:rPr>
          <w:rFonts w:hint="eastAsia" w:ascii="Times New Roman" w:hAnsi="Times New Roman"/>
          <w:color w:val="000000" w:themeColor="text1"/>
          <w:sz w:val="24"/>
          <w:szCs w:val="21"/>
          <w:highlight w:val="none"/>
          <w14:textFill>
            <w14:solidFill>
              <w14:schemeClr w14:val="tx1"/>
            </w14:solidFill>
          </w14:textFill>
        </w:rPr>
        <w:t>乙方应每月对研发人员的工作情况进行总结，并与甲方商讨改进方案。</w:t>
      </w:r>
    </w:p>
    <w:p w14:paraId="69ECF0BE">
      <w:pPr>
        <w:numPr>
          <w:ilvl w:val="0"/>
          <w:numId w:val="12"/>
        </w:numPr>
        <w:spacing w:line="360" w:lineRule="auto"/>
        <w:rPr>
          <w:rFonts w:ascii="Times New Roman" w:hAnsi="Times New Roman"/>
          <w:color w:val="000000" w:themeColor="text1"/>
          <w:sz w:val="24"/>
          <w:szCs w:val="21"/>
          <w:highlight w:val="none"/>
          <w14:textFill>
            <w14:solidFill>
              <w14:schemeClr w14:val="tx1"/>
            </w14:solidFill>
          </w14:textFill>
        </w:rPr>
      </w:pPr>
      <w:bookmarkStart w:id="25" w:name="_Toc304367510"/>
      <w:bookmarkEnd w:id="25"/>
      <w:r>
        <w:rPr>
          <w:rFonts w:hint="eastAsia" w:ascii="Times New Roman" w:hAnsi="Times New Roman"/>
          <w:color w:val="000000" w:themeColor="text1"/>
          <w:sz w:val="24"/>
          <w:szCs w:val="21"/>
          <w:highlight w:val="none"/>
          <w14:textFill>
            <w14:solidFill>
              <w14:schemeClr w14:val="tx1"/>
            </w14:solidFill>
          </w14:textFill>
        </w:rPr>
        <w:t>甲方根据需要可定期对乙方提供的研发人员进行</w:t>
      </w:r>
      <w:r>
        <w:rPr>
          <w:rFonts w:hint="eastAsia"/>
          <w:color w:val="000000" w:themeColor="text1"/>
          <w:sz w:val="24"/>
          <w:szCs w:val="21"/>
          <w:highlight w:val="none"/>
          <w:lang w:eastAsia="zh-CN"/>
          <w14:textFill>
            <w14:solidFill>
              <w14:schemeClr w14:val="tx1"/>
            </w14:solidFill>
          </w14:textFill>
        </w:rPr>
        <w:t>评价</w:t>
      </w:r>
      <w:r>
        <w:rPr>
          <w:rFonts w:hint="eastAsia" w:ascii="Times New Roman" w:hAnsi="Times New Roman"/>
          <w:color w:val="000000" w:themeColor="text1"/>
          <w:sz w:val="24"/>
          <w:szCs w:val="21"/>
          <w:highlight w:val="none"/>
          <w14:textFill>
            <w14:solidFill>
              <w14:schemeClr w14:val="tx1"/>
            </w14:solidFill>
          </w14:textFill>
        </w:rPr>
        <w:t>，并就</w:t>
      </w:r>
      <w:r>
        <w:rPr>
          <w:rFonts w:hint="eastAsia"/>
          <w:color w:val="000000" w:themeColor="text1"/>
          <w:sz w:val="24"/>
          <w:szCs w:val="21"/>
          <w:highlight w:val="none"/>
          <w:lang w:eastAsia="zh-CN"/>
          <w14:textFill>
            <w14:solidFill>
              <w14:schemeClr w14:val="tx1"/>
            </w14:solidFill>
          </w14:textFill>
        </w:rPr>
        <w:t>评价</w:t>
      </w:r>
      <w:r>
        <w:rPr>
          <w:rFonts w:hint="eastAsia" w:ascii="Times New Roman" w:hAnsi="Times New Roman"/>
          <w:color w:val="000000" w:themeColor="text1"/>
          <w:sz w:val="24"/>
          <w:szCs w:val="21"/>
          <w:highlight w:val="none"/>
          <w14:textFill>
            <w14:solidFill>
              <w14:schemeClr w14:val="tx1"/>
            </w14:solidFill>
          </w14:textFill>
        </w:rPr>
        <w:t>结果与乙方进行沟通，商讨改进方案。</w:t>
      </w:r>
      <w:r>
        <w:rPr>
          <w:rFonts w:hint="eastAsia"/>
          <w:color w:val="000000" w:themeColor="text1"/>
          <w:sz w:val="24"/>
          <w:szCs w:val="21"/>
          <w:highlight w:val="none"/>
          <w:lang w:eastAsia="zh-CN"/>
          <w14:textFill>
            <w14:solidFill>
              <w14:schemeClr w14:val="tx1"/>
            </w14:solidFill>
          </w14:textFill>
        </w:rPr>
        <w:t>评价</w:t>
      </w:r>
      <w:r>
        <w:rPr>
          <w:rFonts w:hint="eastAsia" w:ascii="Times New Roman" w:hAnsi="Times New Roman"/>
          <w:color w:val="000000" w:themeColor="text1"/>
          <w:sz w:val="24"/>
          <w:szCs w:val="21"/>
          <w:highlight w:val="none"/>
          <w14:textFill>
            <w14:solidFill>
              <w14:schemeClr w14:val="tx1"/>
            </w14:solidFill>
          </w14:textFill>
        </w:rPr>
        <w:t>内容包括工作完成的数量和及时程度、工作完成的质量、工作态度和积极性等。</w:t>
      </w:r>
    </w:p>
    <w:p w14:paraId="1A24C2EA">
      <w:pPr>
        <w:numPr>
          <w:ilvl w:val="0"/>
          <w:numId w:val="12"/>
        </w:numPr>
        <w:spacing w:line="360" w:lineRule="auto"/>
        <w:jc w:val="left"/>
        <w:rPr>
          <w:rFonts w:ascii="Times New Roman" w:hAnsi="Times New Roman"/>
          <w:color w:val="000000" w:themeColor="text1"/>
          <w:sz w:val="24"/>
          <w:highlight w:val="none"/>
          <w14:textFill>
            <w14:solidFill>
              <w14:schemeClr w14:val="tx1"/>
            </w14:solidFill>
          </w14:textFill>
        </w:rPr>
      </w:pPr>
      <w:r>
        <w:rPr>
          <w:rFonts w:hint="eastAsia" w:ascii="Times New Roman" w:hAnsi="Times New Roman"/>
          <w:color w:val="000000" w:themeColor="text1"/>
          <w:sz w:val="24"/>
          <w:highlight w:val="none"/>
          <w14:textFill>
            <w14:solidFill>
              <w14:schemeClr w14:val="tx1"/>
            </w14:solidFill>
          </w14:textFill>
        </w:rPr>
        <w:t>如乙方人员违反甲方或甲方客户的各项规章制度，给甲方造成损失或不良影响的，甲方有权立即清退该人员，并按相关规定对乙方进行</w:t>
      </w:r>
      <w:r>
        <w:rPr>
          <w:rFonts w:hint="eastAsia"/>
          <w:color w:val="000000" w:themeColor="text1"/>
          <w:sz w:val="24"/>
          <w:highlight w:val="none"/>
          <w:lang w:eastAsia="zh-CN"/>
          <w14:textFill>
            <w14:solidFill>
              <w14:schemeClr w14:val="tx1"/>
            </w14:solidFill>
          </w14:textFill>
        </w:rPr>
        <w:t>评价</w:t>
      </w:r>
      <w:r>
        <w:rPr>
          <w:rFonts w:hint="eastAsia" w:ascii="Times New Roman" w:hAnsi="Times New Roman"/>
          <w:color w:val="000000" w:themeColor="text1"/>
          <w:sz w:val="24"/>
          <w:highlight w:val="none"/>
          <w14:textFill>
            <w14:solidFill>
              <w14:schemeClr w14:val="tx1"/>
            </w14:solidFill>
          </w14:textFill>
        </w:rPr>
        <w:t>并追究乙方违约责任。</w:t>
      </w:r>
    </w:p>
    <w:p w14:paraId="5C0E7A35">
      <w:pPr>
        <w:pStyle w:val="4"/>
        <w:rPr>
          <w:rFonts w:ascii="Times New Roman" w:hAnsi="Times New Roman"/>
          <w:color w:val="000000" w:themeColor="text1"/>
          <w:highlight w:val="none"/>
          <w14:textFill>
            <w14:solidFill>
              <w14:schemeClr w14:val="tx1"/>
            </w14:solidFill>
          </w14:textFill>
        </w:rPr>
      </w:pPr>
      <w:bookmarkStart w:id="26" w:name="_Toc8726012"/>
      <w:bookmarkStart w:id="27" w:name="_Toc113971729"/>
      <w:bookmarkStart w:id="28" w:name="_Toc5403"/>
      <w:bookmarkStart w:id="29" w:name="_Toc3895"/>
      <w:r>
        <w:rPr>
          <w:rStyle w:val="29"/>
          <w:rFonts w:hint="eastAsia" w:ascii="Times New Roman" w:hAnsi="Times New Roman"/>
          <w:color w:val="000000" w:themeColor="text1"/>
          <w:szCs w:val="28"/>
          <w:highlight w:val="none"/>
          <w14:textFill>
            <w14:solidFill>
              <w14:schemeClr w14:val="tx1"/>
            </w14:solidFill>
          </w14:textFill>
        </w:rPr>
        <w:t>工作量核算原则</w:t>
      </w:r>
      <w:bookmarkEnd w:id="26"/>
      <w:bookmarkEnd w:id="27"/>
      <w:bookmarkEnd w:id="28"/>
      <w:bookmarkEnd w:id="29"/>
    </w:p>
    <w:p w14:paraId="0A537ABE">
      <w:pPr>
        <w:pStyle w:val="48"/>
        <w:spacing w:line="360" w:lineRule="auto"/>
        <w:ind w:left="0" w:firstLine="48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以当月实际工作日作为基准，如遇缺勤，按缺勤天数/当月实际工作日进行扣款。</w:t>
      </w:r>
    </w:p>
    <w:p w14:paraId="359A76E1">
      <w:pPr>
        <w:pStyle w:val="3"/>
        <w:rPr>
          <w:rFonts w:ascii="Times New Roman" w:hAnsi="Times New Roman"/>
          <w:color w:val="000000" w:themeColor="text1"/>
          <w:highlight w:val="none"/>
          <w14:textFill>
            <w14:solidFill>
              <w14:schemeClr w14:val="tx1"/>
            </w14:solidFill>
          </w14:textFill>
        </w:rPr>
      </w:pPr>
      <w:bookmarkStart w:id="30" w:name="_Toc113971730"/>
      <w:bookmarkStart w:id="31" w:name="_Toc7660"/>
      <w:bookmarkStart w:id="32" w:name="_Toc9830"/>
      <w:r>
        <w:rPr>
          <w:rFonts w:hint="eastAsia" w:ascii="Times New Roman" w:hAnsi="Times New Roman"/>
          <w:color w:val="000000" w:themeColor="text1"/>
          <w:highlight w:val="none"/>
          <w14:textFill>
            <w14:solidFill>
              <w14:schemeClr w14:val="tx1"/>
            </w14:solidFill>
          </w14:textFill>
        </w:rPr>
        <w:t>验收标准</w:t>
      </w:r>
      <w:bookmarkEnd w:id="30"/>
      <w:bookmarkEnd w:id="31"/>
      <w:bookmarkEnd w:id="32"/>
    </w:p>
    <w:p w14:paraId="79EC718A">
      <w:pPr>
        <w:pStyle w:val="4"/>
        <w:tabs>
          <w:tab w:val="left" w:pos="576"/>
          <w:tab w:val="clear" w:pos="170"/>
        </w:tabs>
        <w:ind w:left="576" w:hanging="576"/>
        <w:rPr>
          <w:rFonts w:ascii="Times New Roman" w:hAnsi="Times New Roman"/>
          <w:color w:val="000000" w:themeColor="text1"/>
          <w:highlight w:val="none"/>
          <w14:textFill>
            <w14:solidFill>
              <w14:schemeClr w14:val="tx1"/>
            </w14:solidFill>
          </w14:textFill>
        </w:rPr>
      </w:pPr>
      <w:bookmarkStart w:id="33" w:name="_Toc216670011"/>
      <w:bookmarkStart w:id="34" w:name="_Toc7726"/>
      <w:bookmarkStart w:id="35" w:name="_Toc5424"/>
      <w:bookmarkStart w:id="36" w:name="_Toc113971731"/>
      <w:r>
        <w:rPr>
          <w:rFonts w:hint="eastAsia" w:ascii="Times New Roman" w:hAnsi="Times New Roman"/>
          <w:color w:val="000000" w:themeColor="text1"/>
          <w:highlight w:val="none"/>
          <w14:textFill>
            <w14:solidFill>
              <w14:schemeClr w14:val="tx1"/>
            </w14:solidFill>
          </w14:textFill>
        </w:rPr>
        <w:t>人员</w:t>
      </w:r>
      <w:r>
        <w:rPr>
          <w:rFonts w:hint="eastAsia" w:ascii="Times New Roman" w:hAnsi="Times New Roman"/>
          <w:color w:val="000000" w:themeColor="text1"/>
          <w:highlight w:val="none"/>
          <w:lang w:val="en-US" w:eastAsia="zh-CN"/>
          <w14:textFill>
            <w14:solidFill>
              <w14:schemeClr w14:val="tx1"/>
            </w14:solidFill>
          </w14:textFill>
        </w:rPr>
        <w:t>评价</w:t>
      </w:r>
      <w:bookmarkEnd w:id="33"/>
      <w:bookmarkEnd w:id="34"/>
      <w:bookmarkEnd w:id="35"/>
      <w:bookmarkEnd w:id="36"/>
    </w:p>
    <w:p w14:paraId="252F5DB6">
      <w:pPr>
        <w:pStyle w:val="45"/>
        <w:spacing w:line="360" w:lineRule="auto"/>
        <w:ind w:firstLine="480" w:firstLineChars="200"/>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甲方项目组根据需要按一定周期对外协人员进行评价，评价分级依据为：＜</w:t>
      </w:r>
      <w:r>
        <w:rPr>
          <w:rFonts w:ascii="Times New Roman"/>
          <w:color w:val="000000" w:themeColor="text1"/>
          <w:kern w:val="2"/>
          <w:sz w:val="24"/>
          <w:szCs w:val="24"/>
          <w:highlight w:val="none"/>
          <w14:textFill>
            <w14:solidFill>
              <w14:schemeClr w14:val="tx1"/>
            </w14:solidFill>
          </w14:textFill>
        </w:rPr>
        <w:t>60</w:t>
      </w:r>
      <w:r>
        <w:rPr>
          <w:rFonts w:hint="eastAsia" w:ascii="Times New Roman"/>
          <w:color w:val="000000" w:themeColor="text1"/>
          <w:kern w:val="2"/>
          <w:sz w:val="24"/>
          <w:szCs w:val="24"/>
          <w:highlight w:val="none"/>
          <w14:textFill>
            <w14:solidFill>
              <w14:schemeClr w14:val="tx1"/>
            </w14:solidFill>
          </w14:textFill>
        </w:rPr>
        <w:t>不合格</w:t>
      </w:r>
      <w:r>
        <w:rPr>
          <w:rFonts w:hint="eastAsia" w:ascii="Times New Roman"/>
          <w:color w:val="000000" w:themeColor="text1"/>
          <w:kern w:val="2"/>
          <w:sz w:val="24"/>
          <w:szCs w:val="24"/>
          <w:highlight w:val="none"/>
          <w:lang w:eastAsia="zh-CN"/>
          <w14:textFill>
            <w14:solidFill>
              <w14:schemeClr w14:val="tx1"/>
            </w14:solidFill>
          </w14:textFill>
        </w:rPr>
        <w:t>，</w:t>
      </w:r>
      <w:r>
        <w:rPr>
          <w:rFonts w:hint="eastAsia" w:ascii="Times New Roman"/>
          <w:color w:val="000000" w:themeColor="text1"/>
          <w:kern w:val="2"/>
          <w:sz w:val="24"/>
          <w:szCs w:val="24"/>
          <w:highlight w:val="none"/>
          <w:lang w:val="en-US" w:eastAsia="zh-CN"/>
          <w14:textFill>
            <w14:solidFill>
              <w14:schemeClr w14:val="tx1"/>
            </w14:solidFill>
          </w14:textFill>
        </w:rPr>
        <w:t>60-80（不含）为合格，80-90（不含）为良好，90及以上为优秀。</w:t>
      </w:r>
    </w:p>
    <w:p w14:paraId="53593331">
      <w:pPr>
        <w:pStyle w:val="45"/>
        <w:spacing w:line="360" w:lineRule="auto"/>
        <w:ind w:firstLine="480" w:firstLineChars="200"/>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评价结果的处理方式为：</w:t>
      </w:r>
    </w:p>
    <w:p w14:paraId="742B93BC">
      <w:pPr>
        <w:pStyle w:val="45"/>
        <w:spacing w:line="360" w:lineRule="auto"/>
        <w:ind w:firstLine="480" w:firstLineChars="200"/>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14:textFill>
            <w14:solidFill>
              <w14:schemeClr w14:val="tx1"/>
            </w14:solidFill>
          </w14:textFill>
        </w:rPr>
        <w:t>对于</w:t>
      </w:r>
      <w:r>
        <w:rPr>
          <w:rFonts w:hint="eastAsia" w:ascii="Times New Roman"/>
          <w:color w:val="000000" w:themeColor="text1"/>
          <w:kern w:val="2"/>
          <w:sz w:val="24"/>
          <w:szCs w:val="24"/>
          <w:highlight w:val="none"/>
          <w:lang w:val="en-US" w:eastAsia="zh-CN"/>
          <w14:textFill>
            <w14:solidFill>
              <w14:schemeClr w14:val="tx1"/>
            </w14:solidFill>
          </w14:textFill>
        </w:rPr>
        <w:t>评价</w:t>
      </w:r>
      <w:r>
        <w:rPr>
          <w:rFonts w:hint="eastAsia" w:ascii="Times New Roman"/>
          <w:color w:val="000000" w:themeColor="text1"/>
          <w:kern w:val="2"/>
          <w:sz w:val="24"/>
          <w:szCs w:val="24"/>
          <w:highlight w:val="none"/>
          <w14:textFill>
            <w14:solidFill>
              <w14:schemeClr w14:val="tx1"/>
            </w14:solidFill>
          </w14:textFill>
        </w:rPr>
        <w:t>不合格（</w:t>
      </w:r>
      <w:r>
        <w:rPr>
          <w:rFonts w:ascii="Times New Roman"/>
          <w:color w:val="000000" w:themeColor="text1"/>
          <w:kern w:val="2"/>
          <w:sz w:val="24"/>
          <w:szCs w:val="24"/>
          <w:highlight w:val="none"/>
          <w14:textFill>
            <w14:solidFill>
              <w14:schemeClr w14:val="tx1"/>
            </w14:solidFill>
          </w14:textFill>
        </w:rPr>
        <w:t>60</w:t>
      </w:r>
      <w:r>
        <w:rPr>
          <w:rFonts w:hint="eastAsia" w:ascii="Times New Roman"/>
          <w:color w:val="000000" w:themeColor="text1"/>
          <w:kern w:val="2"/>
          <w:sz w:val="24"/>
          <w:szCs w:val="24"/>
          <w:highlight w:val="none"/>
          <w14:textFill>
            <w14:solidFill>
              <w14:schemeClr w14:val="tx1"/>
            </w14:solidFill>
          </w14:textFill>
        </w:rPr>
        <w:t>分以下）的人员，要求乙方尽快进行更换；</w:t>
      </w:r>
    </w:p>
    <w:p w14:paraId="05E9D66E">
      <w:pPr>
        <w:pStyle w:val="45"/>
        <w:spacing w:line="360" w:lineRule="auto"/>
        <w:ind w:firstLine="0" w:firstLineChars="0"/>
        <w:rPr>
          <w:rFonts w:ascii="Times New Roman"/>
          <w:color w:val="000000" w:themeColor="text1"/>
          <w:kern w:val="2"/>
          <w:sz w:val="24"/>
          <w:szCs w:val="24"/>
          <w:highlight w:val="none"/>
          <w14:textFill>
            <w14:solidFill>
              <w14:schemeClr w14:val="tx1"/>
            </w14:solidFill>
          </w14:textFill>
        </w:rPr>
      </w:pPr>
      <w:r>
        <w:rPr>
          <w:rFonts w:hint="eastAsia" w:ascii="Times New Roman"/>
          <w:color w:val="000000" w:themeColor="text1"/>
          <w:kern w:val="2"/>
          <w:sz w:val="24"/>
          <w:szCs w:val="24"/>
          <w:highlight w:val="none"/>
          <w:lang w:val="en-US" w:eastAsia="zh-CN"/>
          <w14:textFill>
            <w14:solidFill>
              <w14:schemeClr w14:val="tx1"/>
            </w14:solidFill>
          </w14:textFill>
        </w:rPr>
        <w:t xml:space="preserve">    评价合格及以下、良好、优秀的比例原则上为6：3：1</w:t>
      </w:r>
      <w:r>
        <w:rPr>
          <w:rFonts w:hint="eastAsia" w:ascii="Times New Roman"/>
          <w:color w:val="000000" w:themeColor="text1"/>
          <w:kern w:val="2"/>
          <w:sz w:val="24"/>
          <w:szCs w:val="24"/>
          <w:highlight w:val="none"/>
          <w14:textFill>
            <w14:solidFill>
              <w14:schemeClr w14:val="tx1"/>
            </w14:solidFill>
          </w14:textFill>
        </w:rPr>
        <w:t>。</w:t>
      </w:r>
    </w:p>
    <w:p w14:paraId="36605BC9">
      <w:pPr>
        <w:pStyle w:val="4"/>
        <w:rPr>
          <w:color w:val="000000" w:themeColor="text1"/>
          <w:highlight w:val="none"/>
          <w14:textFill>
            <w14:solidFill>
              <w14:schemeClr w14:val="tx1"/>
            </w14:solidFill>
          </w14:textFill>
        </w:rPr>
      </w:pPr>
      <w:bookmarkStart w:id="37" w:name="_Toc25831"/>
      <w:r>
        <w:rPr>
          <w:rFonts w:hint="eastAsia" w:ascii="Times New Roman"/>
          <w:color w:val="000000" w:themeColor="text1"/>
          <w:kern w:val="2"/>
          <w:sz w:val="24"/>
          <w:szCs w:val="24"/>
          <w:highlight w:val="none"/>
          <w14:textFill>
            <w14:solidFill>
              <w14:schemeClr w14:val="tx1"/>
            </w14:solidFill>
          </w14:textFill>
        </w:rPr>
        <w:t>根据需要，甲方有权对相关评价周期、评价标准等进行变更。</w:t>
      </w:r>
      <w:bookmarkEnd w:id="37"/>
      <w:bookmarkStart w:id="38" w:name="_Toc4108"/>
    </w:p>
    <w:tbl>
      <w:tblPr>
        <w:tblStyle w:val="26"/>
        <w:tblpPr w:leftFromText="180" w:rightFromText="180" w:vertAnchor="text" w:horzAnchor="page" w:tblpX="1354" w:tblpY="465"/>
        <w:tblOverlap w:val="never"/>
        <w:tblW w:w="9388" w:type="dxa"/>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shd w:val="clear" w:color="auto" w:fill="auto"/>
        <w:tblLayout w:type="fixed"/>
        <w:tblCellMar>
          <w:top w:w="0" w:type="dxa"/>
          <w:left w:w="108" w:type="dxa"/>
          <w:bottom w:w="0" w:type="dxa"/>
          <w:right w:w="108" w:type="dxa"/>
        </w:tblCellMar>
      </w:tblPr>
      <w:tblGrid>
        <w:gridCol w:w="1121"/>
        <w:gridCol w:w="4372"/>
        <w:gridCol w:w="3195"/>
        <w:gridCol w:w="700"/>
      </w:tblGrid>
      <w:tr w14:paraId="5E2A1347">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54" w:hRule="atLeast"/>
          <w:tblHeader/>
        </w:trPr>
        <w:tc>
          <w:tcPr>
            <w:tcW w:w="1121" w:type="dxa"/>
            <w:tcBorders>
              <w:tl2br w:val="nil"/>
              <w:tr2bl w:val="nil"/>
            </w:tcBorders>
            <w:shd w:val="clear" w:color="FFFFFF" w:themeColor="background1" w:fill="auto"/>
            <w:vAlign w:val="center"/>
          </w:tcPr>
          <w:p w14:paraId="35B2F69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bCs w:val="0"/>
                <w:i w:val="0"/>
                <w:color w:val="000000" w:themeColor="text1"/>
                <w:sz w:val="21"/>
                <w:szCs w:val="21"/>
                <w:highlight w:val="none"/>
                <w:lang w:val="en-US" w:eastAsia="zh-CN" w:bidi="ar"/>
                <w14:textFill>
                  <w14:solidFill>
                    <w14:schemeClr w14:val="tx1"/>
                  </w14:solidFill>
                </w14:textFill>
              </w:rPr>
              <w:t>评价项</w:t>
            </w:r>
          </w:p>
        </w:tc>
        <w:tc>
          <w:tcPr>
            <w:tcW w:w="4372" w:type="dxa"/>
            <w:tcBorders>
              <w:tl2br w:val="nil"/>
              <w:tr2bl w:val="nil"/>
            </w:tcBorders>
            <w:shd w:val="clear" w:color="FFFFFF" w:themeColor="background1" w:fill="auto"/>
            <w:vAlign w:val="center"/>
          </w:tcPr>
          <w:p w14:paraId="5883B9B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bCs w:val="0"/>
                <w:i w:val="0"/>
                <w:color w:val="000000" w:themeColor="text1"/>
                <w:sz w:val="21"/>
                <w:szCs w:val="21"/>
                <w:highlight w:val="none"/>
                <w:lang w:val="en-US" w:eastAsia="zh-CN" w:bidi="ar"/>
                <w14:textFill>
                  <w14:solidFill>
                    <w14:schemeClr w14:val="tx1"/>
                  </w14:solidFill>
                </w14:textFill>
              </w:rPr>
              <w:t>评价内容</w:t>
            </w:r>
          </w:p>
        </w:tc>
        <w:tc>
          <w:tcPr>
            <w:tcW w:w="3195" w:type="dxa"/>
            <w:tcBorders>
              <w:tl2br w:val="nil"/>
              <w:tr2bl w:val="nil"/>
            </w:tcBorders>
            <w:shd w:val="clear" w:color="FFFFFF" w:themeColor="background1" w:fill="auto"/>
            <w:vAlign w:val="center"/>
          </w:tcPr>
          <w:p w14:paraId="06D3CBE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bCs w:val="0"/>
                <w:i w:val="0"/>
                <w:color w:val="000000" w:themeColor="text1"/>
                <w:sz w:val="21"/>
                <w:szCs w:val="21"/>
                <w:highlight w:val="none"/>
                <w:lang w:val="en-US" w:eastAsia="zh-CN" w:bidi="ar"/>
                <w14:textFill>
                  <w14:solidFill>
                    <w14:schemeClr w14:val="tx1"/>
                  </w14:solidFill>
                </w14:textFill>
              </w:rPr>
              <w:t>评价标准</w:t>
            </w:r>
          </w:p>
        </w:tc>
        <w:tc>
          <w:tcPr>
            <w:tcW w:w="700" w:type="dxa"/>
            <w:tcBorders>
              <w:tl2br w:val="nil"/>
              <w:tr2bl w:val="nil"/>
            </w:tcBorders>
            <w:shd w:val="clear" w:color="auto" w:fill="FFFFFF"/>
            <w:vAlign w:val="center"/>
          </w:tcPr>
          <w:p w14:paraId="429A13E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bCs w:val="0"/>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bCs w:val="0"/>
                <w:i w:val="0"/>
                <w:color w:val="000000" w:themeColor="text1"/>
                <w:sz w:val="21"/>
                <w:szCs w:val="21"/>
                <w:highlight w:val="none"/>
                <w:lang w:val="en-US" w:eastAsia="zh-CN" w:bidi="ar"/>
                <w14:textFill>
                  <w14:solidFill>
                    <w14:schemeClr w14:val="tx1"/>
                  </w14:solidFill>
                </w14:textFill>
              </w:rPr>
              <w:t>得分</w:t>
            </w:r>
          </w:p>
        </w:tc>
      </w:tr>
      <w:tr w14:paraId="7591A721">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2518955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技术水平</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br w:type="textWrapping"/>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(25分)</w:t>
            </w:r>
          </w:p>
        </w:tc>
        <w:tc>
          <w:tcPr>
            <w:tcW w:w="4372" w:type="dxa"/>
            <w:tcBorders>
              <w:tl2br w:val="nil"/>
              <w:tr2bl w:val="nil"/>
            </w:tcBorders>
            <w:shd w:val="clear" w:color="FFFFFF" w:themeColor="background1" w:fill="auto"/>
            <w:vAlign w:val="center"/>
          </w:tcPr>
          <w:p w14:paraId="2E842F3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服务人员技术基础能力对项目满足程度(10)</w:t>
            </w:r>
          </w:p>
        </w:tc>
        <w:tc>
          <w:tcPr>
            <w:tcW w:w="3195" w:type="dxa"/>
            <w:tcBorders>
              <w:tl2br w:val="nil"/>
              <w:tr2bl w:val="nil"/>
            </w:tcBorders>
            <w:shd w:val="clear" w:color="FFFFFF" w:themeColor="background1" w:fill="auto"/>
            <w:vAlign w:val="center"/>
          </w:tcPr>
          <w:p w14:paraId="69D6E6B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6-10</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2-6</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;较差[0-2]</w:t>
            </w:r>
          </w:p>
        </w:tc>
        <w:tc>
          <w:tcPr>
            <w:tcW w:w="700" w:type="dxa"/>
            <w:tcBorders>
              <w:tl2br w:val="nil"/>
              <w:tr2bl w:val="nil"/>
            </w:tcBorders>
            <w:shd w:val="clear" w:color="auto" w:fill="FFFFFF"/>
            <w:vAlign w:val="center"/>
          </w:tcPr>
          <w:p w14:paraId="229F522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434C1D67">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1E3A117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4372" w:type="dxa"/>
            <w:tcBorders>
              <w:tl2br w:val="nil"/>
              <w:tr2bl w:val="nil"/>
            </w:tcBorders>
            <w:shd w:val="clear" w:color="FFFFFF" w:themeColor="background1" w:fill="auto"/>
            <w:vAlign w:val="center"/>
          </w:tcPr>
          <w:p w14:paraId="471FB08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服务人员沟通和解决问题能力对项目满足程度(10)</w:t>
            </w:r>
          </w:p>
        </w:tc>
        <w:tc>
          <w:tcPr>
            <w:tcW w:w="3195" w:type="dxa"/>
            <w:tcBorders>
              <w:tl2br w:val="nil"/>
              <w:tr2bl w:val="nil"/>
            </w:tcBorders>
            <w:shd w:val="clear" w:color="FFFFFF" w:themeColor="background1" w:fill="auto"/>
            <w:vAlign w:val="center"/>
          </w:tcPr>
          <w:p w14:paraId="4190B3E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6-10</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;一般(2-6);较差[0-2]</w:t>
            </w:r>
          </w:p>
        </w:tc>
        <w:tc>
          <w:tcPr>
            <w:tcW w:w="700" w:type="dxa"/>
            <w:tcBorders>
              <w:tl2br w:val="nil"/>
              <w:tr2bl w:val="nil"/>
            </w:tcBorders>
            <w:shd w:val="clear" w:color="auto" w:fill="FFFFFF"/>
            <w:vAlign w:val="center"/>
          </w:tcPr>
          <w:p w14:paraId="71D079F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1CFC4BE3">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0" w:hRule="atLeast"/>
        </w:trPr>
        <w:tc>
          <w:tcPr>
            <w:tcW w:w="1121" w:type="dxa"/>
            <w:vMerge w:val="continue"/>
            <w:tcBorders>
              <w:tl2br w:val="nil"/>
              <w:tr2bl w:val="nil"/>
            </w:tcBorders>
            <w:shd w:val="clear" w:color="FFFFFF" w:themeColor="background1" w:fill="auto"/>
            <w:vAlign w:val="center"/>
          </w:tcPr>
          <w:p w14:paraId="68918DD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4372" w:type="dxa"/>
            <w:tcBorders>
              <w:tl2br w:val="nil"/>
              <w:tr2bl w:val="nil"/>
            </w:tcBorders>
            <w:shd w:val="clear" w:color="FFFFFF" w:themeColor="background1" w:fill="auto"/>
            <w:vAlign w:val="center"/>
          </w:tcPr>
          <w:p w14:paraId="74A0C0F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服务人员</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及时</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承接</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所承担的任务(5)</w:t>
            </w:r>
          </w:p>
        </w:tc>
        <w:tc>
          <w:tcPr>
            <w:tcW w:w="3195" w:type="dxa"/>
            <w:tcBorders>
              <w:tl2br w:val="nil"/>
              <w:tr2bl w:val="nil"/>
            </w:tcBorders>
            <w:shd w:val="clear" w:color="FFFFFF" w:themeColor="background1" w:fill="auto"/>
            <w:vAlign w:val="center"/>
          </w:tcPr>
          <w:p w14:paraId="6E9B91E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良好5;一般(2-4</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;较差</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0-2</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p>
        </w:tc>
        <w:tc>
          <w:tcPr>
            <w:tcW w:w="700" w:type="dxa"/>
            <w:tcBorders>
              <w:tl2br w:val="nil"/>
              <w:tr2bl w:val="nil"/>
            </w:tcBorders>
            <w:shd w:val="clear" w:color="auto" w:fill="FFFFFF"/>
            <w:vAlign w:val="center"/>
          </w:tcPr>
          <w:p w14:paraId="307E599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089AAC8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452910F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交付能力</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br w:type="textWrapping"/>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(25分)</w:t>
            </w:r>
          </w:p>
        </w:tc>
        <w:tc>
          <w:tcPr>
            <w:tcW w:w="4372" w:type="dxa"/>
            <w:tcBorders>
              <w:tl2br w:val="nil"/>
              <w:tr2bl w:val="nil"/>
            </w:tcBorders>
            <w:shd w:val="clear" w:color="FFFFFF" w:themeColor="background1" w:fill="auto"/>
            <w:vAlign w:val="center"/>
          </w:tcPr>
          <w:p w14:paraId="4E7C5AD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过程性资料如日报、周报等</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提供情况，是否准确、</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规范</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(10)</w:t>
            </w:r>
          </w:p>
        </w:tc>
        <w:tc>
          <w:tcPr>
            <w:tcW w:w="3195" w:type="dxa"/>
            <w:tcBorders>
              <w:tl2br w:val="nil"/>
              <w:tr2bl w:val="nil"/>
            </w:tcBorders>
            <w:shd w:val="clear" w:color="FFFFFF" w:themeColor="background1" w:fill="auto"/>
            <w:vAlign w:val="center"/>
          </w:tcPr>
          <w:p w14:paraId="25AE0C6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6-10</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;一般(2-6);较差[0-2]</w:t>
            </w:r>
          </w:p>
        </w:tc>
        <w:tc>
          <w:tcPr>
            <w:tcW w:w="700" w:type="dxa"/>
            <w:tcBorders>
              <w:tl2br w:val="nil"/>
              <w:tr2bl w:val="nil"/>
            </w:tcBorders>
            <w:shd w:val="clear" w:color="auto" w:fill="FFFFFF"/>
            <w:vAlign w:val="center"/>
          </w:tcPr>
          <w:p w14:paraId="4DD09D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7D70B759">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7C073A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4372" w:type="dxa"/>
            <w:tcBorders>
              <w:tl2br w:val="nil"/>
              <w:tr2bl w:val="nil"/>
            </w:tcBorders>
            <w:shd w:val="clear" w:color="FFFFFF" w:themeColor="background1" w:fill="auto"/>
            <w:vAlign w:val="center"/>
          </w:tcPr>
          <w:p w14:paraId="4582A0F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能否及时交付(10)</w:t>
            </w:r>
          </w:p>
        </w:tc>
        <w:tc>
          <w:tcPr>
            <w:tcW w:w="3195" w:type="dxa"/>
            <w:tcBorders>
              <w:tl2br w:val="nil"/>
              <w:tr2bl w:val="nil"/>
            </w:tcBorders>
            <w:shd w:val="clear" w:color="FFFFFF" w:themeColor="background1" w:fill="auto"/>
            <w:vAlign w:val="center"/>
          </w:tcPr>
          <w:p w14:paraId="383BB6F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6-10</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;一般(2-6);较差[0-2]</w:t>
            </w:r>
          </w:p>
        </w:tc>
        <w:tc>
          <w:tcPr>
            <w:tcW w:w="700" w:type="dxa"/>
            <w:tcBorders>
              <w:tl2br w:val="nil"/>
              <w:tr2bl w:val="nil"/>
            </w:tcBorders>
            <w:shd w:val="clear" w:color="auto" w:fill="FFFFFF"/>
            <w:vAlign w:val="center"/>
          </w:tcPr>
          <w:p w14:paraId="74531B2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0E217683">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5B1FCA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4372" w:type="dxa"/>
            <w:tcBorders>
              <w:tl2br w:val="nil"/>
              <w:tr2bl w:val="nil"/>
            </w:tcBorders>
            <w:shd w:val="clear" w:color="FFFFFF" w:themeColor="background1" w:fill="auto"/>
            <w:vAlign w:val="center"/>
          </w:tcPr>
          <w:p w14:paraId="41EB063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能否对紧急需求突发情况及时响应(5)</w:t>
            </w:r>
          </w:p>
        </w:tc>
        <w:tc>
          <w:tcPr>
            <w:tcW w:w="3195" w:type="dxa"/>
            <w:tcBorders>
              <w:tl2br w:val="nil"/>
              <w:tr2bl w:val="nil"/>
            </w:tcBorders>
            <w:shd w:val="clear" w:color="FFFFFF" w:themeColor="background1" w:fill="auto"/>
            <w:vAlign w:val="center"/>
          </w:tcPr>
          <w:p w14:paraId="612EEBE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良好5;一般</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(2</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5)</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;较差</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0-2</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p>
        </w:tc>
        <w:tc>
          <w:tcPr>
            <w:tcW w:w="700" w:type="dxa"/>
            <w:tcBorders>
              <w:tl2br w:val="nil"/>
              <w:tr2bl w:val="nil"/>
            </w:tcBorders>
            <w:shd w:val="clear" w:color="auto" w:fill="FFFFFF"/>
            <w:vAlign w:val="center"/>
          </w:tcPr>
          <w:p w14:paraId="3B3DD8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73CE842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7A2C048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质量管理</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br w:type="textWrapping"/>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4</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0分)</w:t>
            </w:r>
          </w:p>
        </w:tc>
        <w:tc>
          <w:tcPr>
            <w:tcW w:w="4372" w:type="dxa"/>
            <w:tcBorders>
              <w:tl2br w:val="nil"/>
              <w:tr2bl w:val="nil"/>
            </w:tcBorders>
            <w:shd w:val="clear" w:color="FFFFFF" w:themeColor="background1" w:fill="auto"/>
            <w:vAlign w:val="center"/>
          </w:tcPr>
          <w:p w14:paraId="36D3750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是否满足服务质量控制措施并严格执行(</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2</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0)</w:t>
            </w:r>
          </w:p>
        </w:tc>
        <w:tc>
          <w:tcPr>
            <w:tcW w:w="3195" w:type="dxa"/>
            <w:tcBorders>
              <w:tl2br w:val="nil"/>
              <w:tr2bl w:val="nil"/>
            </w:tcBorders>
            <w:shd w:val="clear" w:color="FFFFFF" w:themeColor="background1" w:fill="auto"/>
            <w:vAlign w:val="center"/>
          </w:tcPr>
          <w:p w14:paraId="3678DB6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12</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2</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0</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4</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12</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);较差[0-</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4</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p>
        </w:tc>
        <w:tc>
          <w:tcPr>
            <w:tcW w:w="700" w:type="dxa"/>
            <w:tcBorders>
              <w:tl2br w:val="nil"/>
              <w:tr2bl w:val="nil"/>
            </w:tcBorders>
            <w:shd w:val="clear" w:color="auto" w:fill="FFFFFF"/>
            <w:vAlign w:val="center"/>
          </w:tcPr>
          <w:p w14:paraId="573E852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1BA93ED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41" w:hRule="atLeast"/>
        </w:trPr>
        <w:tc>
          <w:tcPr>
            <w:tcW w:w="1121" w:type="dxa"/>
            <w:vMerge w:val="continue"/>
            <w:tcBorders>
              <w:tl2br w:val="nil"/>
              <w:tr2bl w:val="nil"/>
            </w:tcBorders>
            <w:shd w:val="clear" w:color="FFFFFF" w:themeColor="background1" w:fill="auto"/>
            <w:vAlign w:val="center"/>
          </w:tcPr>
          <w:p w14:paraId="2DF33A2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4372" w:type="dxa"/>
            <w:tcBorders>
              <w:tl2br w:val="nil"/>
              <w:tr2bl w:val="nil"/>
            </w:tcBorders>
            <w:shd w:val="clear" w:color="FFFFFF" w:themeColor="background1" w:fill="auto"/>
            <w:vAlign w:val="center"/>
          </w:tcPr>
          <w:p w14:paraId="2E45B25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所交付产品是否符合规范，产品质量是否满足项目要求</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，不出现频繁返工的情况</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2</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0)</w:t>
            </w:r>
          </w:p>
        </w:tc>
        <w:tc>
          <w:tcPr>
            <w:tcW w:w="3195" w:type="dxa"/>
            <w:tcBorders>
              <w:tl2br w:val="nil"/>
              <w:tr2bl w:val="nil"/>
            </w:tcBorders>
            <w:shd w:val="clear" w:color="FFFFFF" w:themeColor="background1" w:fill="auto"/>
            <w:vAlign w:val="center"/>
          </w:tcPr>
          <w:p w14:paraId="417C24B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w:t>
            </w:r>
            <w:r>
              <w:rPr>
                <w:rFonts w:hint="eastAsia" w:cs="Times New Roman"/>
                <w:b w:val="0"/>
                <w:bCs/>
                <w:i w:val="0"/>
                <w:color w:val="000000" w:themeColor="text1"/>
                <w:sz w:val="21"/>
                <w:szCs w:val="21"/>
                <w:highlight w:val="none"/>
                <w:lang w:val="en-US" w:eastAsia="zh-CN" w:bidi="ar"/>
                <w14:textFill>
                  <w14:solidFill>
                    <w14:schemeClr w14:val="tx1"/>
                  </w14:solidFill>
                </w14:textFill>
              </w:rPr>
              <w:t>[</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12-20</w:t>
            </w:r>
            <w:r>
              <w:rPr>
                <w:rFonts w:hint="eastAsia" w:cs="Times New Roman"/>
                <w:b w:val="0"/>
                <w:bCs/>
                <w:i w:val="0"/>
                <w:color w:val="000000" w:themeColor="text1"/>
                <w:sz w:val="21"/>
                <w:szCs w:val="21"/>
                <w:highlight w:val="none"/>
                <w:lang w:val="en-US" w:eastAsia="zh-CN" w:bidi="ar"/>
                <w14:textFill>
                  <w14:solidFill>
                    <w14:schemeClr w14:val="tx1"/>
                  </w14:solidFill>
                </w14:textFill>
              </w:rPr>
              <w:t>]</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;一般(4-12);较差[0-4]</w:t>
            </w:r>
          </w:p>
        </w:tc>
        <w:tc>
          <w:tcPr>
            <w:tcW w:w="700" w:type="dxa"/>
            <w:tcBorders>
              <w:tl2br w:val="nil"/>
              <w:tr2bl w:val="nil"/>
            </w:tcBorders>
            <w:shd w:val="clear" w:color="auto" w:fill="FFFFFF"/>
            <w:vAlign w:val="center"/>
          </w:tcPr>
          <w:p w14:paraId="0443FE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1E23330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restart"/>
            <w:tcBorders>
              <w:tl2br w:val="nil"/>
              <w:tr2bl w:val="nil"/>
            </w:tcBorders>
            <w:shd w:val="clear" w:color="FFFFFF" w:themeColor="background1" w:fill="auto"/>
            <w:vAlign w:val="center"/>
          </w:tcPr>
          <w:p w14:paraId="5445ED3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Fonts w:hint="eastAsia" w:ascii="Times New Roman" w:hAnsi="Times New Roman" w:eastAsia="宋体" w:cs="Times New Roman"/>
                <w:b w:val="0"/>
                <w:bCs/>
                <w:i w:val="0"/>
                <w:iCs w:val="0"/>
                <w:color w:val="000000" w:themeColor="text1"/>
                <w:kern w:val="2"/>
                <w:sz w:val="21"/>
                <w:szCs w:val="21"/>
                <w:highlight w:val="none"/>
                <w:u w:val="none"/>
                <w:lang w:val="en-US" w:eastAsia="zh-CN" w:bidi="ar"/>
                <w14:textFill>
                  <w14:solidFill>
                    <w14:schemeClr w14:val="tx1"/>
                  </w14:solidFill>
                </w14:textFill>
              </w:rPr>
              <w:t>日常行为</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br w:type="textWrapping"/>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(10分)</w:t>
            </w:r>
          </w:p>
        </w:tc>
        <w:tc>
          <w:tcPr>
            <w:tcW w:w="4372" w:type="dxa"/>
            <w:tcBorders>
              <w:tl2br w:val="nil"/>
              <w:tr2bl w:val="nil"/>
            </w:tcBorders>
            <w:shd w:val="clear" w:color="FFFFFF" w:themeColor="background1" w:fill="auto"/>
            <w:vAlign w:val="center"/>
          </w:tcPr>
          <w:p w14:paraId="42B0564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遵守相关法律法规和相关管理制度，严格按照各类操作流程操作，</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无缺勤、</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无违法违纪事项、无事故(4)</w:t>
            </w:r>
          </w:p>
        </w:tc>
        <w:tc>
          <w:tcPr>
            <w:tcW w:w="3195" w:type="dxa"/>
            <w:tcBorders>
              <w:tl2br w:val="nil"/>
              <w:tr2bl w:val="nil"/>
            </w:tcBorders>
            <w:shd w:val="clear" w:color="FFFFFF" w:themeColor="background1" w:fill="auto"/>
            <w:vAlign w:val="center"/>
          </w:tcPr>
          <w:p w14:paraId="6759002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良好4;一般</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(0</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4)</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;不满足</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0</w:t>
            </w:r>
          </w:p>
        </w:tc>
        <w:tc>
          <w:tcPr>
            <w:tcW w:w="700" w:type="dxa"/>
            <w:tcBorders>
              <w:tl2br w:val="nil"/>
              <w:tr2bl w:val="nil"/>
            </w:tcBorders>
            <w:shd w:val="clear" w:color="auto" w:fill="FFFFFF"/>
            <w:vAlign w:val="center"/>
          </w:tcPr>
          <w:p w14:paraId="7D83D0B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04C66BC5">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798ADF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4372" w:type="dxa"/>
            <w:tcBorders>
              <w:tl2br w:val="nil"/>
              <w:tr2bl w:val="nil"/>
            </w:tcBorders>
            <w:shd w:val="clear" w:color="FFFFFF" w:themeColor="background1" w:fill="auto"/>
            <w:vAlign w:val="center"/>
          </w:tcPr>
          <w:p w14:paraId="72569D0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遵守相关信息安全管理制度，严格按照做好项目的信息安全管理工作(3)</w:t>
            </w:r>
          </w:p>
        </w:tc>
        <w:tc>
          <w:tcPr>
            <w:tcW w:w="3195" w:type="dxa"/>
            <w:tcBorders>
              <w:tl2br w:val="nil"/>
              <w:tr2bl w:val="nil"/>
            </w:tcBorders>
            <w:shd w:val="clear" w:color="FFFFFF" w:themeColor="background1" w:fill="auto"/>
            <w:vAlign w:val="center"/>
          </w:tcPr>
          <w:p w14:paraId="317D8F5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良好3分</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1-2</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;不满足</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0</w:t>
            </w:r>
          </w:p>
        </w:tc>
        <w:tc>
          <w:tcPr>
            <w:tcW w:w="700" w:type="dxa"/>
            <w:tcBorders>
              <w:tl2br w:val="nil"/>
              <w:tr2bl w:val="nil"/>
            </w:tcBorders>
            <w:shd w:val="clear" w:color="auto" w:fill="FFFFFF"/>
            <w:vAlign w:val="center"/>
          </w:tcPr>
          <w:p w14:paraId="32F7EF0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41071769">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atLeast"/>
        </w:trPr>
        <w:tc>
          <w:tcPr>
            <w:tcW w:w="1121" w:type="dxa"/>
            <w:vMerge w:val="continue"/>
            <w:tcBorders>
              <w:tl2br w:val="nil"/>
              <w:tr2bl w:val="nil"/>
            </w:tcBorders>
            <w:shd w:val="clear" w:color="FFFFFF" w:themeColor="background1" w:fill="auto"/>
            <w:vAlign w:val="center"/>
          </w:tcPr>
          <w:p w14:paraId="0B092F5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4372" w:type="dxa"/>
            <w:tcBorders>
              <w:tl2br w:val="nil"/>
              <w:tr2bl w:val="nil"/>
            </w:tcBorders>
            <w:shd w:val="clear" w:color="FFFFFF" w:themeColor="background1" w:fill="auto"/>
            <w:vAlign w:val="center"/>
          </w:tcPr>
          <w:p w14:paraId="0101B98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遵守相关保密管理制度，严格按照要求保守国家秘密和企业商业秘密(3)</w:t>
            </w:r>
          </w:p>
        </w:tc>
        <w:tc>
          <w:tcPr>
            <w:tcW w:w="3195" w:type="dxa"/>
            <w:tcBorders>
              <w:tl2br w:val="nil"/>
              <w:tr2bl w:val="nil"/>
            </w:tcBorders>
            <w:shd w:val="clear" w:color="FFFFFF" w:themeColor="background1" w:fill="auto"/>
            <w:vAlign w:val="center"/>
          </w:tcPr>
          <w:p w14:paraId="323DE22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良好3分</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一般[</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1-2</w:t>
            </w:r>
            <w:r>
              <w:rPr>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w:t>
            </w: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;不满足</w:t>
            </w:r>
            <w:r>
              <w:rPr>
                <w:rStyle w:val="28"/>
                <w:rFonts w:hint="eastAsia" w:cs="Times New Roman"/>
                <w:b w:val="0"/>
                <w:bCs/>
                <w:i w:val="0"/>
                <w:color w:val="000000" w:themeColor="text1"/>
                <w:sz w:val="21"/>
                <w:szCs w:val="21"/>
                <w:highlight w:val="none"/>
                <w:lang w:val="en-US" w:eastAsia="zh-CN" w:bidi="ar"/>
                <w14:textFill>
                  <w14:solidFill>
                    <w14:schemeClr w14:val="tx1"/>
                  </w14:solidFill>
                </w14:textFill>
              </w:rPr>
              <w:t>0</w:t>
            </w:r>
          </w:p>
        </w:tc>
        <w:tc>
          <w:tcPr>
            <w:tcW w:w="700" w:type="dxa"/>
            <w:tcBorders>
              <w:tl2br w:val="nil"/>
              <w:tr2bl w:val="nil"/>
            </w:tcBorders>
            <w:shd w:val="clear" w:color="auto" w:fill="FFFFFF"/>
            <w:vAlign w:val="center"/>
          </w:tcPr>
          <w:p w14:paraId="7FBE94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r w14:paraId="2560EB25">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54" w:hRule="atLeast"/>
        </w:trPr>
        <w:tc>
          <w:tcPr>
            <w:tcW w:w="1121" w:type="dxa"/>
            <w:tcBorders>
              <w:tl2br w:val="nil"/>
              <w:tr2bl w:val="nil"/>
            </w:tcBorders>
            <w:shd w:val="clear" w:color="FFFFFF" w:themeColor="background1" w:fill="auto"/>
            <w:vAlign w:val="center"/>
          </w:tcPr>
          <w:p w14:paraId="09C22E9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r>
              <w:rPr>
                <w:rStyle w:val="28"/>
                <w:rFonts w:hint="eastAsia" w:ascii="Times New Roman" w:hAnsi="Times New Roman" w:eastAsia="宋体" w:cs="Times New Roman"/>
                <w:b w:val="0"/>
                <w:bCs/>
                <w:i w:val="0"/>
                <w:color w:val="000000" w:themeColor="text1"/>
                <w:sz w:val="21"/>
                <w:szCs w:val="21"/>
                <w:highlight w:val="none"/>
                <w:lang w:val="en-US" w:eastAsia="zh-CN" w:bidi="ar"/>
                <w14:textFill>
                  <w14:solidFill>
                    <w14:schemeClr w14:val="tx1"/>
                  </w14:solidFill>
                </w14:textFill>
              </w:rPr>
              <w:t>总分</w:t>
            </w:r>
          </w:p>
        </w:tc>
        <w:tc>
          <w:tcPr>
            <w:tcW w:w="4372" w:type="dxa"/>
            <w:tcBorders>
              <w:tl2br w:val="nil"/>
              <w:tr2bl w:val="nil"/>
            </w:tcBorders>
            <w:shd w:val="clear" w:color="FFFFFF" w:themeColor="background1" w:fill="auto"/>
            <w:vAlign w:val="center"/>
          </w:tcPr>
          <w:p w14:paraId="72950C0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3195" w:type="dxa"/>
            <w:tcBorders>
              <w:tl2br w:val="nil"/>
              <w:tr2bl w:val="nil"/>
            </w:tcBorders>
            <w:shd w:val="clear" w:color="FFFFFF" w:themeColor="background1" w:fill="auto"/>
            <w:vAlign w:val="center"/>
          </w:tcPr>
          <w:p w14:paraId="6F2DCB1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c>
          <w:tcPr>
            <w:tcW w:w="700" w:type="dxa"/>
            <w:tcBorders>
              <w:tl2br w:val="nil"/>
              <w:tr2bl w:val="nil"/>
            </w:tcBorders>
            <w:shd w:val="clear" w:color="auto" w:fill="FFFFFF"/>
            <w:vAlign w:val="center"/>
          </w:tcPr>
          <w:p w14:paraId="38AF80B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rPr>
                <w:rFonts w:hint="eastAsia" w:ascii="Times New Roman" w:hAnsi="Times New Roman" w:eastAsia="宋体" w:cs="Times New Roman"/>
                <w:b w:val="0"/>
                <w:bCs/>
                <w:i w:val="0"/>
                <w:iCs w:val="0"/>
                <w:color w:val="000000" w:themeColor="text1"/>
                <w:sz w:val="21"/>
                <w:szCs w:val="21"/>
                <w:highlight w:val="none"/>
                <w:u w:val="none"/>
                <w14:textFill>
                  <w14:solidFill>
                    <w14:schemeClr w14:val="tx1"/>
                  </w14:solidFill>
                </w14:textFill>
              </w:rPr>
            </w:pPr>
          </w:p>
        </w:tc>
      </w:tr>
    </w:tbl>
    <w:p w14:paraId="474813F5">
      <w:pPr>
        <w:rPr>
          <w:color w:val="000000" w:themeColor="text1"/>
          <w:highlight w:val="none"/>
          <w14:textFill>
            <w14:solidFill>
              <w14:schemeClr w14:val="tx1"/>
            </w14:solidFill>
          </w14:textFill>
        </w:rPr>
      </w:pPr>
    </w:p>
    <w:bookmarkEnd w:id="38"/>
    <w:p w14:paraId="23C7A83F">
      <w:pPr>
        <w:pStyle w:val="2"/>
        <w:rPr>
          <w:rFonts w:hint="default"/>
          <w:color w:val="000000" w:themeColor="text1"/>
          <w:highlight w:val="none"/>
          <w:lang w:val="en-US" w:eastAsia="zh-CN"/>
          <w14:textFill>
            <w14:solidFill>
              <w14:schemeClr w14:val="tx1"/>
            </w14:solidFill>
          </w14:textFill>
        </w:rPr>
      </w:pPr>
    </w:p>
    <w:p w14:paraId="3D6D0273">
      <w:pPr>
        <w:pStyle w:val="3"/>
        <w:numPr>
          <w:ilvl w:val="-1"/>
          <w:numId w:val="0"/>
        </w:numPr>
        <w:ind w:left="170"/>
        <w:rPr>
          <w:rFonts w:hint="default"/>
          <w:color w:val="000000" w:themeColor="text1"/>
          <w:highlight w:val="none"/>
          <w14:textFill>
            <w14:solidFill>
              <w14:schemeClr w14:val="tx1"/>
            </w14:solidFill>
          </w14:textFill>
        </w:rPr>
      </w:pPr>
      <w:bookmarkStart w:id="39" w:name="_Toc7781"/>
      <w:bookmarkStart w:id="40" w:name="_Toc23108"/>
      <w:r>
        <w:rPr>
          <w:rFonts w:hint="eastAsia"/>
          <w:color w:val="000000" w:themeColor="text1"/>
          <w:highlight w:val="none"/>
          <w:lang w:val="en-US" w:eastAsia="zh-CN"/>
          <w14:textFill>
            <w14:solidFill>
              <w14:schemeClr w14:val="tx1"/>
            </w14:solidFill>
          </w14:textFill>
        </w:rPr>
        <w:t xml:space="preserve">5 </w:t>
      </w:r>
      <w:r>
        <w:rPr>
          <w:rFonts w:hint="default"/>
          <w:color w:val="000000" w:themeColor="text1"/>
          <w:highlight w:val="none"/>
          <w14:textFill>
            <w14:solidFill>
              <w14:schemeClr w14:val="tx1"/>
            </w14:solidFill>
          </w14:textFill>
        </w:rPr>
        <w:t>知识产权</w:t>
      </w:r>
      <w:bookmarkEnd w:id="39"/>
      <w:bookmarkEnd w:id="40"/>
    </w:p>
    <w:p w14:paraId="164BE856">
      <w:pPr>
        <w:spacing w:line="360" w:lineRule="auto"/>
        <w:ind w:firstLine="482" w:firstLineChars="200"/>
        <w:rPr>
          <w:rFonts w:hint="eastAsia" w:eastAsia="宋体"/>
          <w:b/>
          <w:color w:val="000000" w:themeColor="text1"/>
          <w:sz w:val="24"/>
          <w:highlight w:val="none"/>
          <w:lang w:eastAsia="zh-CN"/>
          <w14:textFill>
            <w14:solidFill>
              <w14:schemeClr w14:val="tx1"/>
            </w14:solidFill>
          </w14:textFill>
        </w:rPr>
      </w:pPr>
      <w:r>
        <w:rPr>
          <w:rFonts w:hint="eastAsia"/>
          <w:b/>
          <w:color w:val="000000" w:themeColor="text1"/>
          <w:sz w:val="24"/>
          <w:highlight w:val="none"/>
          <w14:textFill>
            <w14:solidFill>
              <w14:schemeClr w14:val="tx1"/>
            </w14:solidFill>
          </w14:textFill>
        </w:rPr>
        <w:t>本项目要求提供所有源代码（中标后我司委托项目）。合作过程中产生的所有工作成果（包括但不限于源代码、设计文档、技术文档、测试报告、配置脚本等）的知识产权及所有权均归甲方所有</w:t>
      </w:r>
      <w:r>
        <w:rPr>
          <w:rFonts w:hint="eastAsia"/>
          <w:b/>
          <w:color w:val="000000" w:themeColor="text1"/>
          <w:sz w:val="24"/>
          <w:highlight w:val="none"/>
          <w:lang w:eastAsia="zh-CN"/>
          <w14:textFill>
            <w14:solidFill>
              <w14:schemeClr w14:val="tx1"/>
            </w14:solidFill>
          </w14:textFill>
        </w:rPr>
        <w:t>。</w:t>
      </w:r>
    </w:p>
    <w:p w14:paraId="72FFB419">
      <w:pPr>
        <w:pStyle w:val="3"/>
        <w:numPr>
          <w:ilvl w:val="-1"/>
          <w:numId w:val="0"/>
        </w:numPr>
        <w:ind w:left="170"/>
        <w:rPr>
          <w:rFonts w:hint="default"/>
          <w:color w:val="000000" w:themeColor="text1"/>
          <w:highlight w:val="none"/>
          <w14:textFill>
            <w14:solidFill>
              <w14:schemeClr w14:val="tx1"/>
            </w14:solidFill>
          </w14:textFill>
        </w:rPr>
      </w:pPr>
      <w:bookmarkStart w:id="41" w:name="_Toc14881"/>
      <w:bookmarkStart w:id="42" w:name="_Toc22994"/>
      <w:r>
        <w:rPr>
          <w:rFonts w:hint="eastAsia"/>
          <w:color w:val="000000" w:themeColor="text1"/>
          <w:highlight w:val="none"/>
          <w:lang w:val="en-US" w:eastAsia="zh-CN"/>
          <w14:textFill>
            <w14:solidFill>
              <w14:schemeClr w14:val="tx1"/>
            </w14:solidFill>
          </w14:textFill>
        </w:rPr>
        <w:t xml:space="preserve">6 </w:t>
      </w:r>
      <w:r>
        <w:rPr>
          <w:rFonts w:hint="default"/>
          <w:color w:val="000000" w:themeColor="text1"/>
          <w:highlight w:val="none"/>
          <w14:textFill>
            <w14:solidFill>
              <w14:schemeClr w14:val="tx1"/>
            </w14:solidFill>
          </w14:textFill>
        </w:rPr>
        <w:t>驻点服务</w:t>
      </w:r>
      <w:bookmarkEnd w:id="41"/>
      <w:bookmarkEnd w:id="42"/>
    </w:p>
    <w:p w14:paraId="145800F9">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本项目需要</w:t>
      </w:r>
      <w:r>
        <w:rPr>
          <w:rFonts w:hint="eastAsia" w:ascii="宋体" w:hAnsi="宋体" w:cs="宋体"/>
          <w:color w:val="000000" w:themeColor="text1"/>
          <w:sz w:val="24"/>
          <w:highlight w:val="none"/>
          <w:lang w:val="en-US" w:eastAsia="zh-CN"/>
          <w14:textFill>
            <w14:solidFill>
              <w14:schemeClr w14:val="tx1"/>
            </w14:solidFill>
          </w14:textFill>
        </w:rPr>
        <w:t>至少88</w:t>
      </w:r>
      <w:r>
        <w:rPr>
          <w:rFonts w:hint="eastAsia" w:ascii="宋体" w:hAnsi="宋体" w:cs="宋体"/>
          <w:color w:val="000000" w:themeColor="text1"/>
          <w:sz w:val="24"/>
          <w:highlight w:val="none"/>
          <w14:textFill>
            <w14:solidFill>
              <w14:schemeClr w14:val="tx1"/>
            </w14:solidFill>
          </w14:textFill>
        </w:rPr>
        <w:t>名人员（其中</w:t>
      </w:r>
      <w:r>
        <w:rPr>
          <w:rFonts w:hint="eastAsia" w:ascii="宋体" w:hAnsi="宋体" w:cs="宋体"/>
          <w:color w:val="000000" w:themeColor="text1"/>
          <w:sz w:val="24"/>
          <w:highlight w:val="none"/>
          <w14:textFill>
            <w14:solidFill>
              <w14:schemeClr w14:val="tx1"/>
            </w14:solidFill>
          </w14:textFill>
        </w:rPr>
        <w:t>份额1：31人，份额2：24人，份额3：18人，份额4：15人）</w:t>
      </w:r>
      <w:r>
        <w:rPr>
          <w:rFonts w:hint="eastAsia" w:ascii="宋体" w:hAnsi="宋体" w:cs="宋体"/>
          <w:color w:val="000000" w:themeColor="text1"/>
          <w:sz w:val="24"/>
          <w:highlight w:val="none"/>
          <w14:textFill>
            <w14:solidFill>
              <w14:schemeClr w14:val="tx1"/>
            </w14:solidFill>
          </w14:textFill>
        </w:rPr>
        <w:t>驻点南方基地，应答方须自行解决驻点产生的工位费用以及现场工作中产生的交通、住宿、餐饮等差旅费用。</w:t>
      </w:r>
    </w:p>
    <w:p w14:paraId="2802CCBE">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本项目针对驻点人员办公工作位使用费收费标准如下：</w:t>
      </w:r>
    </w:p>
    <w:p w14:paraId="26A879F3">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（1）全球通大厦标准坐席1230 元/席/月，临时（长条桌）坐席615元/席/月</w:t>
      </w:r>
    </w:p>
    <w:p w14:paraId="6104DBC3">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（2）东兴大厦/办公楼 708 元/席/月</w:t>
      </w:r>
      <w:r>
        <w:rPr>
          <w:rFonts w:hint="eastAsia" w:ascii="宋体" w:hAnsi="宋体" w:cs="宋体"/>
          <w:color w:val="000000" w:themeColor="text1"/>
          <w:sz w:val="24"/>
          <w:highlight w:val="none"/>
          <w14:textFill>
            <w14:solidFill>
              <w14:schemeClr w14:val="tx1"/>
            </w14:solidFill>
          </w14:textFill>
        </w:rPr>
        <w:tab/>
      </w:r>
    </w:p>
    <w:p w14:paraId="0E6E85C9">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（3）金海大厦/办公楼 702 元/席/月</w:t>
      </w:r>
      <w:r>
        <w:rPr>
          <w:rFonts w:hint="eastAsia" w:ascii="宋体" w:hAnsi="宋体" w:cs="宋体"/>
          <w:color w:val="000000" w:themeColor="text1"/>
          <w:sz w:val="24"/>
          <w:highlight w:val="none"/>
          <w14:textFill>
            <w14:solidFill>
              <w14:schemeClr w14:val="tx1"/>
            </w14:solidFill>
          </w14:textFill>
        </w:rPr>
        <w:tab/>
      </w:r>
    </w:p>
    <w:p w14:paraId="06B78526">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（4）旧全球通大厦/办公楼 633 元/席/月</w:t>
      </w:r>
      <w:r>
        <w:rPr>
          <w:rFonts w:hint="eastAsia" w:ascii="宋体" w:hAnsi="宋体" w:cs="宋体"/>
          <w:color w:val="000000" w:themeColor="text1"/>
          <w:sz w:val="24"/>
          <w:highlight w:val="none"/>
          <w14:textFill>
            <w14:solidFill>
              <w14:schemeClr w14:val="tx1"/>
            </w14:solidFill>
          </w14:textFill>
        </w:rPr>
        <w:tab/>
      </w:r>
    </w:p>
    <w:p w14:paraId="2D0145F5">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（5）梅东路62号/办公楼 678 元/席/月</w:t>
      </w:r>
      <w:r>
        <w:rPr>
          <w:rFonts w:hint="eastAsia" w:ascii="宋体" w:hAnsi="宋体" w:cs="宋体"/>
          <w:color w:val="000000" w:themeColor="text1"/>
          <w:sz w:val="24"/>
          <w:highlight w:val="none"/>
          <w14:textFill>
            <w14:solidFill>
              <w14:schemeClr w14:val="tx1"/>
            </w14:solidFill>
          </w14:textFill>
        </w:rPr>
        <w:tab/>
      </w:r>
    </w:p>
    <w:p w14:paraId="266F9791">
      <w:pPr>
        <w:spacing w:line="360" w:lineRule="auto"/>
        <w:ind w:firstLine="484" w:firstLineChars="20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（6）南方基地 900 元/席/月</w:t>
      </w:r>
    </w:p>
    <w:p w14:paraId="44DEDA00">
      <w:pPr>
        <w:numPr>
          <w:ilvl w:val="-1"/>
          <w:numId w:val="0"/>
        </w:numPr>
        <w:spacing w:line="360" w:lineRule="auto"/>
        <w:ind w:left="420" w:firstLine="420" w:firstLineChars="200"/>
        <w:rPr>
          <w:rFonts w:hint="eastAsia" w:eastAsia="宋体"/>
          <w:color w:val="000000" w:themeColor="text1"/>
          <w:highlight w:val="none"/>
          <w:lang w:val="en-US" w:eastAsia="zh-CN"/>
          <w14:textFill>
            <w14:solidFill>
              <w14:schemeClr w14:val="tx1"/>
            </w14:solidFill>
          </w14:textFill>
        </w:rPr>
      </w:pPr>
    </w:p>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长城仿宋">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1B44F">
    <w:pPr>
      <w:pStyle w:val="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D5D0F9">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8D5D0F9">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2737">
    <w:pPr>
      <w:pStyle w:val="20"/>
      <w:jc w:val="right"/>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66F3C">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F966F3C">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7DC12">
    <w:pPr>
      <w:pStyle w:val="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E649F8">
                          <w:pPr>
                            <w:pStyle w:val="2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E649F8">
                    <w:pPr>
                      <w:pStyle w:val="20"/>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DF22">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9D688">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2D6D5"/>
    <w:multiLevelType w:val="singleLevel"/>
    <w:tmpl w:val="9F32D6D5"/>
    <w:lvl w:ilvl="0" w:tentative="0">
      <w:start w:val="1"/>
      <w:numFmt w:val="decimal"/>
      <w:lvlText w:val="（%1）"/>
      <w:lvlJc w:val="left"/>
      <w:pPr>
        <w:tabs>
          <w:tab w:val="left" w:pos="420"/>
        </w:tabs>
      </w:pPr>
      <w:rPr>
        <w:rFonts w:hint="default"/>
        <w:b w:val="0"/>
        <w:bCs w:val="0"/>
      </w:rPr>
    </w:lvl>
  </w:abstractNum>
  <w:abstractNum w:abstractNumId="1">
    <w:nsid w:val="BAF8CEAB"/>
    <w:multiLevelType w:val="multilevel"/>
    <w:tmpl w:val="BAF8CEAB"/>
    <w:lvl w:ilvl="0" w:tentative="0">
      <w:start w:val="1"/>
      <w:numFmt w:val="decimal"/>
      <w:suff w:val="space"/>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392A27"/>
    <w:multiLevelType w:val="multilevel"/>
    <w:tmpl w:val="04392A27"/>
    <w:lvl w:ilvl="0" w:tentative="0">
      <w:start w:val="1"/>
      <w:numFmt w:val="decimal"/>
      <w:pStyle w:val="43"/>
      <w:lvlText w:val="%1)"/>
      <w:lvlJc w:val="left"/>
      <w:pPr>
        <w:tabs>
          <w:tab w:val="left" w:pos="1199"/>
        </w:tabs>
        <w:ind w:left="1140" w:hanging="301"/>
      </w:pPr>
      <w:rPr>
        <w:rFonts w:hint="eastAsia"/>
      </w:rPr>
    </w:lvl>
    <w:lvl w:ilvl="1" w:tentative="0">
      <w:start w:val="1"/>
      <w:numFmt w:val="decimal"/>
      <w:lvlText w:val="%2）"/>
      <w:lvlJc w:val="left"/>
      <w:pPr>
        <w:tabs>
          <w:tab w:val="left" w:pos="1200"/>
        </w:tabs>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083F6FF2"/>
    <w:multiLevelType w:val="singleLevel"/>
    <w:tmpl w:val="083F6FF2"/>
    <w:lvl w:ilvl="0" w:tentative="0">
      <w:start w:val="1"/>
      <w:numFmt w:val="decimal"/>
      <w:lvlText w:val="(%1)"/>
      <w:lvlJc w:val="left"/>
      <w:pPr>
        <w:ind w:left="425" w:hanging="425"/>
      </w:pPr>
      <w:rPr>
        <w:rFonts w:hint="default"/>
      </w:rPr>
    </w:lvl>
  </w:abstractNum>
  <w:abstractNum w:abstractNumId="4">
    <w:nsid w:val="0C3F7CEF"/>
    <w:multiLevelType w:val="multilevel"/>
    <w:tmpl w:val="0C3F7CE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2877C8D"/>
    <w:multiLevelType w:val="multilevel"/>
    <w:tmpl w:val="12877C8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94C2F66"/>
    <w:multiLevelType w:val="multilevel"/>
    <w:tmpl w:val="194C2F66"/>
    <w:lvl w:ilvl="0" w:tentative="0">
      <w:start w:val="1"/>
      <w:numFmt w:val="decimal"/>
      <w:lvlText w:val="%1"/>
      <w:lvlJc w:val="left"/>
      <w:pPr>
        <w:tabs>
          <w:tab w:val="left" w:pos="1283"/>
        </w:tabs>
        <w:ind w:left="1283" w:hanging="432"/>
      </w:pPr>
    </w:lvl>
    <w:lvl w:ilvl="1" w:tentative="0">
      <w:start w:val="1"/>
      <w:numFmt w:val="decimal"/>
      <w:lvlText w:val="%1.%2"/>
      <w:lvlJc w:val="left"/>
      <w:pPr>
        <w:tabs>
          <w:tab w:val="left" w:pos="1427"/>
        </w:tabs>
        <w:ind w:left="1427" w:hanging="576"/>
      </w:pPr>
    </w:lvl>
    <w:lvl w:ilvl="2" w:tentative="0">
      <w:start w:val="1"/>
      <w:numFmt w:val="decimal"/>
      <w:lvlText w:val="%1.%2.%3"/>
      <w:lvlJc w:val="left"/>
      <w:pPr>
        <w:tabs>
          <w:tab w:val="left" w:pos="1571"/>
        </w:tabs>
        <w:ind w:left="1571" w:hanging="720"/>
      </w:pPr>
    </w:lvl>
    <w:lvl w:ilvl="3" w:tentative="0">
      <w:start w:val="1"/>
      <w:numFmt w:val="decimal"/>
      <w:lvlText w:val="%1.%2.%3.%4"/>
      <w:lvlJc w:val="left"/>
      <w:pPr>
        <w:tabs>
          <w:tab w:val="left" w:pos="1715"/>
        </w:tabs>
        <w:ind w:left="1715" w:hanging="864"/>
      </w:pPr>
    </w:lvl>
    <w:lvl w:ilvl="4" w:tentative="0">
      <w:start w:val="1"/>
      <w:numFmt w:val="decimal"/>
      <w:pStyle w:val="7"/>
      <w:lvlText w:val="%1.%2.%3.%4.%5"/>
      <w:lvlJc w:val="left"/>
      <w:pPr>
        <w:tabs>
          <w:tab w:val="left" w:pos="1859"/>
        </w:tabs>
        <w:ind w:left="1859" w:hanging="1008"/>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7">
    <w:nsid w:val="3AC12B52"/>
    <w:multiLevelType w:val="multilevel"/>
    <w:tmpl w:val="3AC12B52"/>
    <w:lvl w:ilvl="0" w:tentative="0">
      <w:start w:val="1"/>
      <w:numFmt w:val="decimal"/>
      <w:pStyle w:val="36"/>
      <w:suff w:val="nothing"/>
      <w:lvlText w:val="%1"/>
      <w:lvlJc w:val="left"/>
      <w:pPr>
        <w:ind w:left="57" w:hanging="57"/>
      </w:pPr>
      <w:rPr>
        <w:rFonts w:hint="eastAsia"/>
      </w:rPr>
    </w:lvl>
    <w:lvl w:ilvl="1" w:tentative="0">
      <w:start w:val="1"/>
      <w:numFmt w:val="decimal"/>
      <w:suff w:val="nothing"/>
      <w:lvlText w:val="%1.%2"/>
      <w:lvlJc w:val="left"/>
      <w:pPr>
        <w:ind w:left="1677" w:hanging="57"/>
      </w:pPr>
      <w:rPr>
        <w:rFonts w:hint="eastAsia"/>
      </w:rPr>
    </w:lvl>
    <w:lvl w:ilvl="2" w:tentative="0">
      <w:start w:val="1"/>
      <w:numFmt w:val="decimal"/>
      <w:pStyle w:val="37"/>
      <w:suff w:val="nothing"/>
      <w:lvlText w:val="%1.%2.%3"/>
      <w:lvlJc w:val="left"/>
      <w:pPr>
        <w:ind w:left="1497" w:hanging="57"/>
      </w:pPr>
      <w:rPr>
        <w:rFonts w:hint="eastAsia"/>
        <w:b w:val="0"/>
      </w:rPr>
    </w:lvl>
    <w:lvl w:ilvl="3" w:tentative="0">
      <w:start w:val="1"/>
      <w:numFmt w:val="decimal"/>
      <w:pStyle w:val="38"/>
      <w:suff w:val="nothing"/>
      <w:lvlText w:val="%1.%2.%3.%4"/>
      <w:lvlJc w:val="left"/>
      <w:pPr>
        <w:ind w:left="57" w:hanging="57"/>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40066A6A"/>
    <w:multiLevelType w:val="multilevel"/>
    <w:tmpl w:val="40066A6A"/>
    <w:lvl w:ilvl="0" w:tentative="0">
      <w:start w:val="1"/>
      <w:numFmt w:val="decimal"/>
      <w:pStyle w:val="3"/>
      <w:lvlText w:val="%1"/>
      <w:lvlJc w:val="left"/>
      <w:pPr>
        <w:tabs>
          <w:tab w:val="left" w:pos="170"/>
        </w:tabs>
        <w:ind w:left="170" w:firstLine="0"/>
      </w:pPr>
      <w:rPr>
        <w:rFonts w:hint="eastAsia"/>
      </w:rPr>
    </w:lvl>
    <w:lvl w:ilvl="1" w:tentative="0">
      <w:start w:val="1"/>
      <w:numFmt w:val="decimal"/>
      <w:pStyle w:val="4"/>
      <w:lvlText w:val="%1.%2"/>
      <w:lvlJc w:val="left"/>
      <w:pPr>
        <w:tabs>
          <w:tab w:val="left" w:pos="170"/>
        </w:tabs>
        <w:ind w:left="170" w:firstLine="0"/>
      </w:pPr>
      <w:rPr>
        <w:rFonts w:hint="eastAsia"/>
      </w:rPr>
    </w:lvl>
    <w:lvl w:ilvl="2" w:tentative="0">
      <w:start w:val="1"/>
      <w:numFmt w:val="decimal"/>
      <w:pStyle w:val="5"/>
      <w:lvlText w:val="%1.%2.%3"/>
      <w:lvlJc w:val="left"/>
      <w:pPr>
        <w:tabs>
          <w:tab w:val="left" w:pos="1622"/>
        </w:tabs>
        <w:ind w:left="1620" w:hanging="1110"/>
      </w:pPr>
      <w:rPr>
        <w:rFonts w:hint="eastAsia"/>
      </w:rPr>
    </w:lvl>
    <w:lvl w:ilvl="3" w:tentative="0">
      <w:start w:val="1"/>
      <w:numFmt w:val="decimal"/>
      <w:pStyle w:val="6"/>
      <w:lvlText w:val="%1.%2.%4.%3"/>
      <w:lvlJc w:val="left"/>
      <w:pPr>
        <w:tabs>
          <w:tab w:val="left" w:pos="170"/>
        </w:tabs>
        <w:ind w:left="170" w:firstLine="0"/>
      </w:pPr>
      <w:rPr>
        <w:rFonts w:hint="eastAsia"/>
      </w:rPr>
    </w:lvl>
    <w:lvl w:ilvl="4" w:tentative="0">
      <w:start w:val="1"/>
      <w:numFmt w:val="decimal"/>
      <w:lvlText w:val="%1.%2.%3.%4.%5"/>
      <w:lvlJc w:val="left"/>
      <w:pPr>
        <w:tabs>
          <w:tab w:val="left" w:pos="13034"/>
        </w:tabs>
        <w:ind w:left="13034" w:hanging="850"/>
      </w:pPr>
      <w:rPr>
        <w:rFonts w:hint="eastAsia"/>
      </w:rPr>
    </w:lvl>
    <w:lvl w:ilvl="5" w:tentative="0">
      <w:start w:val="1"/>
      <w:numFmt w:val="decimal"/>
      <w:lvlText w:val="%1.%2.%3.%4.%5.%6"/>
      <w:lvlJc w:val="left"/>
      <w:pPr>
        <w:tabs>
          <w:tab w:val="left" w:pos="13743"/>
        </w:tabs>
        <w:ind w:left="13743" w:hanging="1134"/>
      </w:pPr>
      <w:rPr>
        <w:rFonts w:hint="eastAsia"/>
      </w:rPr>
    </w:lvl>
    <w:lvl w:ilvl="6" w:tentative="0">
      <w:start w:val="1"/>
      <w:numFmt w:val="decimal"/>
      <w:lvlText w:val="%1.%2.%3.%4.%5.%6.%7"/>
      <w:lvlJc w:val="left"/>
      <w:pPr>
        <w:tabs>
          <w:tab w:val="left" w:pos="14310"/>
        </w:tabs>
        <w:ind w:left="14310" w:hanging="1276"/>
      </w:pPr>
      <w:rPr>
        <w:rFonts w:hint="eastAsia"/>
      </w:rPr>
    </w:lvl>
    <w:lvl w:ilvl="7" w:tentative="0">
      <w:start w:val="1"/>
      <w:numFmt w:val="decimal"/>
      <w:lvlText w:val="%1.%2.%3.%4.%5.%6.%7.%8"/>
      <w:lvlJc w:val="left"/>
      <w:pPr>
        <w:tabs>
          <w:tab w:val="left" w:pos="14877"/>
        </w:tabs>
        <w:ind w:left="14877" w:hanging="1418"/>
      </w:pPr>
      <w:rPr>
        <w:rFonts w:hint="eastAsia"/>
      </w:rPr>
    </w:lvl>
    <w:lvl w:ilvl="8" w:tentative="0">
      <w:start w:val="1"/>
      <w:numFmt w:val="decimal"/>
      <w:lvlText w:val="%1.%2.%3.%4.%5.%6.%7.%8.%9"/>
      <w:lvlJc w:val="left"/>
      <w:pPr>
        <w:tabs>
          <w:tab w:val="left" w:pos="15585"/>
        </w:tabs>
        <w:ind w:left="15585" w:hanging="1700"/>
      </w:pPr>
      <w:rPr>
        <w:rFonts w:hint="eastAsia"/>
      </w:rPr>
    </w:lvl>
  </w:abstractNum>
  <w:abstractNum w:abstractNumId="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0"/>
      <w:suff w:val="space"/>
      <w:lvlText w:val="表%9"/>
      <w:lvlJc w:val="center"/>
      <w:pPr>
        <w:ind w:left="0" w:firstLine="0"/>
      </w:pPr>
      <w:rPr>
        <w:rFonts w:hint="default" w:ascii="Arial" w:hAnsi="Arial" w:eastAsia="黑体"/>
        <w:b w:val="0"/>
        <w:i w:val="0"/>
        <w:sz w:val="18"/>
        <w:szCs w:val="18"/>
      </w:rPr>
    </w:lvl>
  </w:abstractNum>
  <w:abstractNum w:abstractNumId="10">
    <w:nsid w:val="5891001A"/>
    <w:multiLevelType w:val="multilevel"/>
    <w:tmpl w:val="5891001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1"/>
      <w:lvlText w:val="%1.%2.%3.%4.%5.%6.%7.%8"/>
      <w:lvlJc w:val="left"/>
      <w:pPr>
        <w:tabs>
          <w:tab w:val="left" w:pos="1440"/>
        </w:tabs>
        <w:ind w:left="1440" w:hanging="1440"/>
      </w:pPr>
    </w:lvl>
    <w:lvl w:ilvl="8" w:tentative="0">
      <w:start w:val="1"/>
      <w:numFmt w:val="decimal"/>
      <w:pStyle w:val="12"/>
      <w:lvlText w:val="%1.%2.%3.%4.%5.%6.%7.%8.%9"/>
      <w:lvlJc w:val="left"/>
      <w:pPr>
        <w:tabs>
          <w:tab w:val="left" w:pos="1584"/>
        </w:tabs>
        <w:ind w:left="1584" w:hanging="1584"/>
      </w:pPr>
    </w:lvl>
  </w:abstractNum>
  <w:abstractNum w:abstractNumId="11">
    <w:nsid w:val="691F1E6F"/>
    <w:multiLevelType w:val="multilevel"/>
    <w:tmpl w:val="691F1E6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6"/>
  </w:num>
  <w:num w:numId="3">
    <w:abstractNumId w:val="10"/>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 w:numId="9">
    <w:abstractNumId w:val="11"/>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700"/>
    <w:rsid w:val="000003C8"/>
    <w:rsid w:val="0000128E"/>
    <w:rsid w:val="000013E6"/>
    <w:rsid w:val="00001D7C"/>
    <w:rsid w:val="000029CC"/>
    <w:rsid w:val="00005BF1"/>
    <w:rsid w:val="000065E4"/>
    <w:rsid w:val="00010E4B"/>
    <w:rsid w:val="0002280C"/>
    <w:rsid w:val="00023FF0"/>
    <w:rsid w:val="00024D81"/>
    <w:rsid w:val="00027A59"/>
    <w:rsid w:val="00032AD5"/>
    <w:rsid w:val="00034364"/>
    <w:rsid w:val="000354CA"/>
    <w:rsid w:val="00035A56"/>
    <w:rsid w:val="00035AEB"/>
    <w:rsid w:val="00035C2D"/>
    <w:rsid w:val="0003660D"/>
    <w:rsid w:val="000453D4"/>
    <w:rsid w:val="000467E7"/>
    <w:rsid w:val="00052F6F"/>
    <w:rsid w:val="00053B08"/>
    <w:rsid w:val="000547E3"/>
    <w:rsid w:val="000561F7"/>
    <w:rsid w:val="00056C6E"/>
    <w:rsid w:val="00056F85"/>
    <w:rsid w:val="00060926"/>
    <w:rsid w:val="00066914"/>
    <w:rsid w:val="00066F02"/>
    <w:rsid w:val="00075F5A"/>
    <w:rsid w:val="00076509"/>
    <w:rsid w:val="000766BF"/>
    <w:rsid w:val="00080948"/>
    <w:rsid w:val="00082097"/>
    <w:rsid w:val="00082CEE"/>
    <w:rsid w:val="000870DD"/>
    <w:rsid w:val="00093119"/>
    <w:rsid w:val="000932A4"/>
    <w:rsid w:val="000948C5"/>
    <w:rsid w:val="00094CB4"/>
    <w:rsid w:val="00094D70"/>
    <w:rsid w:val="000951E4"/>
    <w:rsid w:val="0009520A"/>
    <w:rsid w:val="00095DD8"/>
    <w:rsid w:val="0009624F"/>
    <w:rsid w:val="00097569"/>
    <w:rsid w:val="000A2CC5"/>
    <w:rsid w:val="000A307B"/>
    <w:rsid w:val="000A5554"/>
    <w:rsid w:val="000A5E9E"/>
    <w:rsid w:val="000B1132"/>
    <w:rsid w:val="000B11B8"/>
    <w:rsid w:val="000B2A88"/>
    <w:rsid w:val="000B3574"/>
    <w:rsid w:val="000B3BEE"/>
    <w:rsid w:val="000B4441"/>
    <w:rsid w:val="000B55FE"/>
    <w:rsid w:val="000B5D38"/>
    <w:rsid w:val="000C0176"/>
    <w:rsid w:val="000C0541"/>
    <w:rsid w:val="000C111F"/>
    <w:rsid w:val="000C615A"/>
    <w:rsid w:val="000D14AC"/>
    <w:rsid w:val="000D276D"/>
    <w:rsid w:val="000D4871"/>
    <w:rsid w:val="000D721B"/>
    <w:rsid w:val="000E0141"/>
    <w:rsid w:val="000E3EC3"/>
    <w:rsid w:val="000E6A5D"/>
    <w:rsid w:val="000F5E59"/>
    <w:rsid w:val="00104408"/>
    <w:rsid w:val="00105EC4"/>
    <w:rsid w:val="00106E0A"/>
    <w:rsid w:val="0010782F"/>
    <w:rsid w:val="00110509"/>
    <w:rsid w:val="0011321C"/>
    <w:rsid w:val="0011640E"/>
    <w:rsid w:val="001206F1"/>
    <w:rsid w:val="00125E56"/>
    <w:rsid w:val="0012713F"/>
    <w:rsid w:val="0012759B"/>
    <w:rsid w:val="0013106F"/>
    <w:rsid w:val="001313E8"/>
    <w:rsid w:val="00131D04"/>
    <w:rsid w:val="00134608"/>
    <w:rsid w:val="001442F6"/>
    <w:rsid w:val="0014437E"/>
    <w:rsid w:val="00153834"/>
    <w:rsid w:val="00154D9A"/>
    <w:rsid w:val="0016085B"/>
    <w:rsid w:val="001622B0"/>
    <w:rsid w:val="00162B84"/>
    <w:rsid w:val="00163B17"/>
    <w:rsid w:val="00164267"/>
    <w:rsid w:val="0016512D"/>
    <w:rsid w:val="0016535C"/>
    <w:rsid w:val="00166051"/>
    <w:rsid w:val="001711A3"/>
    <w:rsid w:val="0018011F"/>
    <w:rsid w:val="00180A59"/>
    <w:rsid w:val="00180D35"/>
    <w:rsid w:val="00181626"/>
    <w:rsid w:val="001827C6"/>
    <w:rsid w:val="00186797"/>
    <w:rsid w:val="00187EC3"/>
    <w:rsid w:val="00190A28"/>
    <w:rsid w:val="00192B3C"/>
    <w:rsid w:val="00195BEE"/>
    <w:rsid w:val="001977F5"/>
    <w:rsid w:val="001A06D8"/>
    <w:rsid w:val="001A1D3F"/>
    <w:rsid w:val="001A2955"/>
    <w:rsid w:val="001A401C"/>
    <w:rsid w:val="001A78DF"/>
    <w:rsid w:val="001B0779"/>
    <w:rsid w:val="001B09F0"/>
    <w:rsid w:val="001B284D"/>
    <w:rsid w:val="001B574E"/>
    <w:rsid w:val="001C133F"/>
    <w:rsid w:val="001C3AFF"/>
    <w:rsid w:val="001C608A"/>
    <w:rsid w:val="001D0CFF"/>
    <w:rsid w:val="001D29E2"/>
    <w:rsid w:val="001D5423"/>
    <w:rsid w:val="001D719A"/>
    <w:rsid w:val="001E2AC9"/>
    <w:rsid w:val="001E6738"/>
    <w:rsid w:val="001E6746"/>
    <w:rsid w:val="001E7A48"/>
    <w:rsid w:val="001E7D1F"/>
    <w:rsid w:val="001F0065"/>
    <w:rsid w:val="001F4C26"/>
    <w:rsid w:val="001F4FFB"/>
    <w:rsid w:val="001F50B2"/>
    <w:rsid w:val="001F54D1"/>
    <w:rsid w:val="001F79BA"/>
    <w:rsid w:val="00200162"/>
    <w:rsid w:val="00201E26"/>
    <w:rsid w:val="002054D0"/>
    <w:rsid w:val="0020718B"/>
    <w:rsid w:val="00207344"/>
    <w:rsid w:val="00211CE6"/>
    <w:rsid w:val="00214417"/>
    <w:rsid w:val="00215792"/>
    <w:rsid w:val="00215B0D"/>
    <w:rsid w:val="00215F11"/>
    <w:rsid w:val="0021600D"/>
    <w:rsid w:val="00216F02"/>
    <w:rsid w:val="00217613"/>
    <w:rsid w:val="00223772"/>
    <w:rsid w:val="00224372"/>
    <w:rsid w:val="002266AC"/>
    <w:rsid w:val="0022690E"/>
    <w:rsid w:val="00230045"/>
    <w:rsid w:val="0023296D"/>
    <w:rsid w:val="002342C8"/>
    <w:rsid w:val="00243778"/>
    <w:rsid w:val="00253528"/>
    <w:rsid w:val="00254F35"/>
    <w:rsid w:val="00260842"/>
    <w:rsid w:val="002610BB"/>
    <w:rsid w:val="002641B9"/>
    <w:rsid w:val="0026647F"/>
    <w:rsid w:val="00267BA9"/>
    <w:rsid w:val="002745AB"/>
    <w:rsid w:val="00274D51"/>
    <w:rsid w:val="0027629E"/>
    <w:rsid w:val="00276F8A"/>
    <w:rsid w:val="002776F2"/>
    <w:rsid w:val="0028317D"/>
    <w:rsid w:val="00291D03"/>
    <w:rsid w:val="00295998"/>
    <w:rsid w:val="00297F62"/>
    <w:rsid w:val="002A0781"/>
    <w:rsid w:val="002A0FD5"/>
    <w:rsid w:val="002A4893"/>
    <w:rsid w:val="002A7C15"/>
    <w:rsid w:val="002B16B3"/>
    <w:rsid w:val="002B6F70"/>
    <w:rsid w:val="002C0E09"/>
    <w:rsid w:val="002C1869"/>
    <w:rsid w:val="002C21F2"/>
    <w:rsid w:val="002D218E"/>
    <w:rsid w:val="002D36E9"/>
    <w:rsid w:val="002D72DA"/>
    <w:rsid w:val="002E094E"/>
    <w:rsid w:val="002E2E0D"/>
    <w:rsid w:val="002E3C42"/>
    <w:rsid w:val="002E5AB2"/>
    <w:rsid w:val="002E64BF"/>
    <w:rsid w:val="002E6B45"/>
    <w:rsid w:val="00300B29"/>
    <w:rsid w:val="003048EB"/>
    <w:rsid w:val="003138B6"/>
    <w:rsid w:val="0031722F"/>
    <w:rsid w:val="00321607"/>
    <w:rsid w:val="00322492"/>
    <w:rsid w:val="00327504"/>
    <w:rsid w:val="00332E9C"/>
    <w:rsid w:val="003343B6"/>
    <w:rsid w:val="00336024"/>
    <w:rsid w:val="0033644A"/>
    <w:rsid w:val="00337043"/>
    <w:rsid w:val="003373C3"/>
    <w:rsid w:val="00341D63"/>
    <w:rsid w:val="00341F17"/>
    <w:rsid w:val="0035092A"/>
    <w:rsid w:val="0035258A"/>
    <w:rsid w:val="00352CAC"/>
    <w:rsid w:val="00352FEC"/>
    <w:rsid w:val="00352FF3"/>
    <w:rsid w:val="00354447"/>
    <w:rsid w:val="00354E0E"/>
    <w:rsid w:val="003559C6"/>
    <w:rsid w:val="003652D6"/>
    <w:rsid w:val="00367F6B"/>
    <w:rsid w:val="0037198B"/>
    <w:rsid w:val="003729D6"/>
    <w:rsid w:val="00373E54"/>
    <w:rsid w:val="00373F51"/>
    <w:rsid w:val="00374C4C"/>
    <w:rsid w:val="00374FBE"/>
    <w:rsid w:val="003753E8"/>
    <w:rsid w:val="00376829"/>
    <w:rsid w:val="00376F9B"/>
    <w:rsid w:val="00385780"/>
    <w:rsid w:val="003879B8"/>
    <w:rsid w:val="003931E4"/>
    <w:rsid w:val="00395424"/>
    <w:rsid w:val="00396B63"/>
    <w:rsid w:val="003A0A91"/>
    <w:rsid w:val="003A1725"/>
    <w:rsid w:val="003A4A2F"/>
    <w:rsid w:val="003A4A5F"/>
    <w:rsid w:val="003A53D9"/>
    <w:rsid w:val="003A5488"/>
    <w:rsid w:val="003A67E5"/>
    <w:rsid w:val="003B1F64"/>
    <w:rsid w:val="003B24BB"/>
    <w:rsid w:val="003B46B8"/>
    <w:rsid w:val="003B5E7B"/>
    <w:rsid w:val="003C043E"/>
    <w:rsid w:val="003C0A3B"/>
    <w:rsid w:val="003C27A0"/>
    <w:rsid w:val="003C2F27"/>
    <w:rsid w:val="003C7102"/>
    <w:rsid w:val="003C73A8"/>
    <w:rsid w:val="003D1C90"/>
    <w:rsid w:val="003D70E2"/>
    <w:rsid w:val="003E0E79"/>
    <w:rsid w:val="003E6C93"/>
    <w:rsid w:val="003E7169"/>
    <w:rsid w:val="003F282B"/>
    <w:rsid w:val="00402064"/>
    <w:rsid w:val="00402C40"/>
    <w:rsid w:val="00404C55"/>
    <w:rsid w:val="0040751B"/>
    <w:rsid w:val="00407C81"/>
    <w:rsid w:val="00410A1B"/>
    <w:rsid w:val="00411B9B"/>
    <w:rsid w:val="004139AB"/>
    <w:rsid w:val="00413EE4"/>
    <w:rsid w:val="0041451E"/>
    <w:rsid w:val="00415AC5"/>
    <w:rsid w:val="00417FAE"/>
    <w:rsid w:val="00420517"/>
    <w:rsid w:val="0042663F"/>
    <w:rsid w:val="00433692"/>
    <w:rsid w:val="0043403C"/>
    <w:rsid w:val="00435A59"/>
    <w:rsid w:val="00441BD2"/>
    <w:rsid w:val="00441FF4"/>
    <w:rsid w:val="0044441B"/>
    <w:rsid w:val="00446FCD"/>
    <w:rsid w:val="00447EA3"/>
    <w:rsid w:val="00451090"/>
    <w:rsid w:val="004574B7"/>
    <w:rsid w:val="0046044B"/>
    <w:rsid w:val="00460F26"/>
    <w:rsid w:val="004610D8"/>
    <w:rsid w:val="00464559"/>
    <w:rsid w:val="004673BD"/>
    <w:rsid w:val="004709EE"/>
    <w:rsid w:val="00476A87"/>
    <w:rsid w:val="00477130"/>
    <w:rsid w:val="0047793B"/>
    <w:rsid w:val="00480D9A"/>
    <w:rsid w:val="00481023"/>
    <w:rsid w:val="00482176"/>
    <w:rsid w:val="00482910"/>
    <w:rsid w:val="00486951"/>
    <w:rsid w:val="00491176"/>
    <w:rsid w:val="00494D26"/>
    <w:rsid w:val="004A0A86"/>
    <w:rsid w:val="004A0C66"/>
    <w:rsid w:val="004A363C"/>
    <w:rsid w:val="004B12F8"/>
    <w:rsid w:val="004B296A"/>
    <w:rsid w:val="004B5818"/>
    <w:rsid w:val="004B5979"/>
    <w:rsid w:val="004B6C48"/>
    <w:rsid w:val="004B7770"/>
    <w:rsid w:val="004C429D"/>
    <w:rsid w:val="004C4B7C"/>
    <w:rsid w:val="004C68E8"/>
    <w:rsid w:val="004C6A48"/>
    <w:rsid w:val="004D1746"/>
    <w:rsid w:val="004D691E"/>
    <w:rsid w:val="004E02EE"/>
    <w:rsid w:val="004E25CF"/>
    <w:rsid w:val="004F14B8"/>
    <w:rsid w:val="004F240B"/>
    <w:rsid w:val="004F4850"/>
    <w:rsid w:val="004F552D"/>
    <w:rsid w:val="004F7817"/>
    <w:rsid w:val="00500703"/>
    <w:rsid w:val="005029A4"/>
    <w:rsid w:val="005036C8"/>
    <w:rsid w:val="00503A5A"/>
    <w:rsid w:val="0050791E"/>
    <w:rsid w:val="0051184C"/>
    <w:rsid w:val="00511D67"/>
    <w:rsid w:val="00514671"/>
    <w:rsid w:val="00514A85"/>
    <w:rsid w:val="0051722D"/>
    <w:rsid w:val="00517EB7"/>
    <w:rsid w:val="005214B1"/>
    <w:rsid w:val="005246F2"/>
    <w:rsid w:val="0053155C"/>
    <w:rsid w:val="0054065D"/>
    <w:rsid w:val="00543BF7"/>
    <w:rsid w:val="00546110"/>
    <w:rsid w:val="00554FFA"/>
    <w:rsid w:val="0055759F"/>
    <w:rsid w:val="0056204D"/>
    <w:rsid w:val="00562C53"/>
    <w:rsid w:val="005652C1"/>
    <w:rsid w:val="005669FD"/>
    <w:rsid w:val="00566BFC"/>
    <w:rsid w:val="00567703"/>
    <w:rsid w:val="00571184"/>
    <w:rsid w:val="005724D5"/>
    <w:rsid w:val="00572796"/>
    <w:rsid w:val="00572C85"/>
    <w:rsid w:val="0057337F"/>
    <w:rsid w:val="0057519D"/>
    <w:rsid w:val="00582596"/>
    <w:rsid w:val="0058295B"/>
    <w:rsid w:val="005838DC"/>
    <w:rsid w:val="00585E27"/>
    <w:rsid w:val="00586744"/>
    <w:rsid w:val="0059237D"/>
    <w:rsid w:val="00593832"/>
    <w:rsid w:val="005949E4"/>
    <w:rsid w:val="00594B55"/>
    <w:rsid w:val="00596220"/>
    <w:rsid w:val="005A0501"/>
    <w:rsid w:val="005A11DF"/>
    <w:rsid w:val="005A19CA"/>
    <w:rsid w:val="005A2372"/>
    <w:rsid w:val="005B5A46"/>
    <w:rsid w:val="005B62D9"/>
    <w:rsid w:val="005B7016"/>
    <w:rsid w:val="005C0037"/>
    <w:rsid w:val="005C02A0"/>
    <w:rsid w:val="005C17A9"/>
    <w:rsid w:val="005C3C5D"/>
    <w:rsid w:val="005C3FCC"/>
    <w:rsid w:val="005D294E"/>
    <w:rsid w:val="005D4680"/>
    <w:rsid w:val="005E09EF"/>
    <w:rsid w:val="005E3B7E"/>
    <w:rsid w:val="005E4648"/>
    <w:rsid w:val="005E635A"/>
    <w:rsid w:val="005F11B3"/>
    <w:rsid w:val="005F282D"/>
    <w:rsid w:val="005F32AC"/>
    <w:rsid w:val="005F497E"/>
    <w:rsid w:val="005F5AE6"/>
    <w:rsid w:val="005F6774"/>
    <w:rsid w:val="005F7976"/>
    <w:rsid w:val="00603A3F"/>
    <w:rsid w:val="00605C25"/>
    <w:rsid w:val="00607C76"/>
    <w:rsid w:val="0061671B"/>
    <w:rsid w:val="00621483"/>
    <w:rsid w:val="006249A8"/>
    <w:rsid w:val="006275C2"/>
    <w:rsid w:val="0063022F"/>
    <w:rsid w:val="00633B0E"/>
    <w:rsid w:val="00640B06"/>
    <w:rsid w:val="00644834"/>
    <w:rsid w:val="0064637A"/>
    <w:rsid w:val="00646BCF"/>
    <w:rsid w:val="00646BD7"/>
    <w:rsid w:val="0065013B"/>
    <w:rsid w:val="00651851"/>
    <w:rsid w:val="00651E41"/>
    <w:rsid w:val="00656EF0"/>
    <w:rsid w:val="00657B63"/>
    <w:rsid w:val="006600DC"/>
    <w:rsid w:val="00662495"/>
    <w:rsid w:val="00662EE2"/>
    <w:rsid w:val="00666548"/>
    <w:rsid w:val="00666976"/>
    <w:rsid w:val="00666BFC"/>
    <w:rsid w:val="006701E0"/>
    <w:rsid w:val="00675080"/>
    <w:rsid w:val="006753D6"/>
    <w:rsid w:val="00676796"/>
    <w:rsid w:val="006801A2"/>
    <w:rsid w:val="006806C2"/>
    <w:rsid w:val="00680A74"/>
    <w:rsid w:val="00680E6C"/>
    <w:rsid w:val="00681060"/>
    <w:rsid w:val="006810C2"/>
    <w:rsid w:val="00681559"/>
    <w:rsid w:val="00682321"/>
    <w:rsid w:val="006834C9"/>
    <w:rsid w:val="0068579F"/>
    <w:rsid w:val="006877EC"/>
    <w:rsid w:val="006879B6"/>
    <w:rsid w:val="006920A3"/>
    <w:rsid w:val="00693900"/>
    <w:rsid w:val="00695909"/>
    <w:rsid w:val="006962C7"/>
    <w:rsid w:val="00696651"/>
    <w:rsid w:val="00697B29"/>
    <w:rsid w:val="00697EA5"/>
    <w:rsid w:val="006B2F71"/>
    <w:rsid w:val="006B4877"/>
    <w:rsid w:val="006B6B57"/>
    <w:rsid w:val="006B6F86"/>
    <w:rsid w:val="006C24B3"/>
    <w:rsid w:val="006C6F10"/>
    <w:rsid w:val="006D0A0E"/>
    <w:rsid w:val="006D5226"/>
    <w:rsid w:val="006D6056"/>
    <w:rsid w:val="006E0BFF"/>
    <w:rsid w:val="006E3287"/>
    <w:rsid w:val="006E35BC"/>
    <w:rsid w:val="006E3E10"/>
    <w:rsid w:val="006E60F7"/>
    <w:rsid w:val="006E646F"/>
    <w:rsid w:val="006F00D2"/>
    <w:rsid w:val="006F31B5"/>
    <w:rsid w:val="006F4A3E"/>
    <w:rsid w:val="006F4A69"/>
    <w:rsid w:val="006F5FDA"/>
    <w:rsid w:val="006F6180"/>
    <w:rsid w:val="006F6AC9"/>
    <w:rsid w:val="007019C1"/>
    <w:rsid w:val="0070397B"/>
    <w:rsid w:val="007046C1"/>
    <w:rsid w:val="0070517E"/>
    <w:rsid w:val="007064C0"/>
    <w:rsid w:val="00710FF3"/>
    <w:rsid w:val="00711668"/>
    <w:rsid w:val="007145D5"/>
    <w:rsid w:val="00714C73"/>
    <w:rsid w:val="00720B8D"/>
    <w:rsid w:val="0072532A"/>
    <w:rsid w:val="00730E02"/>
    <w:rsid w:val="00730ED1"/>
    <w:rsid w:val="007340CE"/>
    <w:rsid w:val="007342F0"/>
    <w:rsid w:val="00735116"/>
    <w:rsid w:val="00743A48"/>
    <w:rsid w:val="00744A03"/>
    <w:rsid w:val="00744BAD"/>
    <w:rsid w:val="00750E11"/>
    <w:rsid w:val="0075209F"/>
    <w:rsid w:val="0075301B"/>
    <w:rsid w:val="007555A0"/>
    <w:rsid w:val="0075738D"/>
    <w:rsid w:val="0076051E"/>
    <w:rsid w:val="0076099A"/>
    <w:rsid w:val="00760AC2"/>
    <w:rsid w:val="00760CE6"/>
    <w:rsid w:val="0076401F"/>
    <w:rsid w:val="00767829"/>
    <w:rsid w:val="007704C0"/>
    <w:rsid w:val="00771220"/>
    <w:rsid w:val="00775CC5"/>
    <w:rsid w:val="00775F0C"/>
    <w:rsid w:val="00777F6B"/>
    <w:rsid w:val="007851E0"/>
    <w:rsid w:val="00794DAE"/>
    <w:rsid w:val="00795CDD"/>
    <w:rsid w:val="007A2A64"/>
    <w:rsid w:val="007A3E56"/>
    <w:rsid w:val="007A3F76"/>
    <w:rsid w:val="007B1E0D"/>
    <w:rsid w:val="007B6CC8"/>
    <w:rsid w:val="007B7268"/>
    <w:rsid w:val="007C46D4"/>
    <w:rsid w:val="007C7EBE"/>
    <w:rsid w:val="007D0CE0"/>
    <w:rsid w:val="007D162F"/>
    <w:rsid w:val="007D30E3"/>
    <w:rsid w:val="007D7935"/>
    <w:rsid w:val="007E0C8A"/>
    <w:rsid w:val="007E2ACC"/>
    <w:rsid w:val="007E7649"/>
    <w:rsid w:val="007F1733"/>
    <w:rsid w:val="007F2B1F"/>
    <w:rsid w:val="007F2E15"/>
    <w:rsid w:val="007F788C"/>
    <w:rsid w:val="008001DA"/>
    <w:rsid w:val="00801594"/>
    <w:rsid w:val="008015CF"/>
    <w:rsid w:val="008021D8"/>
    <w:rsid w:val="00802468"/>
    <w:rsid w:val="00803CC8"/>
    <w:rsid w:val="00803E21"/>
    <w:rsid w:val="00805C84"/>
    <w:rsid w:val="00812139"/>
    <w:rsid w:val="008139E9"/>
    <w:rsid w:val="00820F8A"/>
    <w:rsid w:val="00823826"/>
    <w:rsid w:val="008278BA"/>
    <w:rsid w:val="008335E7"/>
    <w:rsid w:val="00834A65"/>
    <w:rsid w:val="00835C4C"/>
    <w:rsid w:val="008363CA"/>
    <w:rsid w:val="00841CDF"/>
    <w:rsid w:val="00844111"/>
    <w:rsid w:val="008464B0"/>
    <w:rsid w:val="00855E03"/>
    <w:rsid w:val="00860876"/>
    <w:rsid w:val="008653E1"/>
    <w:rsid w:val="00865826"/>
    <w:rsid w:val="00870BF9"/>
    <w:rsid w:val="008736C5"/>
    <w:rsid w:val="008738DB"/>
    <w:rsid w:val="008746B0"/>
    <w:rsid w:val="00875A65"/>
    <w:rsid w:val="00875EB0"/>
    <w:rsid w:val="008819CE"/>
    <w:rsid w:val="00883988"/>
    <w:rsid w:val="008855B4"/>
    <w:rsid w:val="00896111"/>
    <w:rsid w:val="008A081B"/>
    <w:rsid w:val="008A29A5"/>
    <w:rsid w:val="008A305E"/>
    <w:rsid w:val="008A3692"/>
    <w:rsid w:val="008A3D2D"/>
    <w:rsid w:val="008A3F68"/>
    <w:rsid w:val="008B0D05"/>
    <w:rsid w:val="008B1A8D"/>
    <w:rsid w:val="008B43E2"/>
    <w:rsid w:val="008B61DC"/>
    <w:rsid w:val="008B7198"/>
    <w:rsid w:val="008C1723"/>
    <w:rsid w:val="008C4236"/>
    <w:rsid w:val="008D0F0B"/>
    <w:rsid w:val="008D1F14"/>
    <w:rsid w:val="008D2116"/>
    <w:rsid w:val="008D394F"/>
    <w:rsid w:val="008D48C8"/>
    <w:rsid w:val="008D759A"/>
    <w:rsid w:val="008E1E34"/>
    <w:rsid w:val="008E4641"/>
    <w:rsid w:val="008E5F4F"/>
    <w:rsid w:val="008F4E45"/>
    <w:rsid w:val="00900B23"/>
    <w:rsid w:val="00900B57"/>
    <w:rsid w:val="00902C12"/>
    <w:rsid w:val="009051D5"/>
    <w:rsid w:val="00905863"/>
    <w:rsid w:val="00906507"/>
    <w:rsid w:val="00912FF3"/>
    <w:rsid w:val="009142C9"/>
    <w:rsid w:val="009165AC"/>
    <w:rsid w:val="00923531"/>
    <w:rsid w:val="00923810"/>
    <w:rsid w:val="00925543"/>
    <w:rsid w:val="00930E1E"/>
    <w:rsid w:val="00931AA7"/>
    <w:rsid w:val="00933196"/>
    <w:rsid w:val="00934700"/>
    <w:rsid w:val="0093490A"/>
    <w:rsid w:val="00935F8E"/>
    <w:rsid w:val="009403ED"/>
    <w:rsid w:val="00941F0D"/>
    <w:rsid w:val="00944D06"/>
    <w:rsid w:val="00945340"/>
    <w:rsid w:val="00946F3C"/>
    <w:rsid w:val="00947325"/>
    <w:rsid w:val="00950047"/>
    <w:rsid w:val="00951B48"/>
    <w:rsid w:val="00953745"/>
    <w:rsid w:val="00955254"/>
    <w:rsid w:val="00955FA7"/>
    <w:rsid w:val="0097002C"/>
    <w:rsid w:val="00973E30"/>
    <w:rsid w:val="00974637"/>
    <w:rsid w:val="0097534B"/>
    <w:rsid w:val="00975DDD"/>
    <w:rsid w:val="00977FDB"/>
    <w:rsid w:val="00980431"/>
    <w:rsid w:val="0098512A"/>
    <w:rsid w:val="00987211"/>
    <w:rsid w:val="0098794D"/>
    <w:rsid w:val="00992041"/>
    <w:rsid w:val="00992EFF"/>
    <w:rsid w:val="009932E3"/>
    <w:rsid w:val="00994276"/>
    <w:rsid w:val="00995678"/>
    <w:rsid w:val="00995B64"/>
    <w:rsid w:val="009A18B6"/>
    <w:rsid w:val="009A1D0F"/>
    <w:rsid w:val="009A3649"/>
    <w:rsid w:val="009A5D66"/>
    <w:rsid w:val="009A62FF"/>
    <w:rsid w:val="009B00C8"/>
    <w:rsid w:val="009B592D"/>
    <w:rsid w:val="009B5B93"/>
    <w:rsid w:val="009C08B9"/>
    <w:rsid w:val="009C154A"/>
    <w:rsid w:val="009C3066"/>
    <w:rsid w:val="009C33EE"/>
    <w:rsid w:val="009C6FDC"/>
    <w:rsid w:val="009C7643"/>
    <w:rsid w:val="009D24E9"/>
    <w:rsid w:val="009D5464"/>
    <w:rsid w:val="009D658D"/>
    <w:rsid w:val="009D6F4F"/>
    <w:rsid w:val="009D6FE7"/>
    <w:rsid w:val="009E265A"/>
    <w:rsid w:val="009E398F"/>
    <w:rsid w:val="009F08C5"/>
    <w:rsid w:val="009F0FBD"/>
    <w:rsid w:val="009F3B55"/>
    <w:rsid w:val="00A0115E"/>
    <w:rsid w:val="00A0256F"/>
    <w:rsid w:val="00A054D5"/>
    <w:rsid w:val="00A069A0"/>
    <w:rsid w:val="00A06F5C"/>
    <w:rsid w:val="00A113BA"/>
    <w:rsid w:val="00A1318D"/>
    <w:rsid w:val="00A13C39"/>
    <w:rsid w:val="00A13F9A"/>
    <w:rsid w:val="00A14D9D"/>
    <w:rsid w:val="00A1729C"/>
    <w:rsid w:val="00A236FD"/>
    <w:rsid w:val="00A2429A"/>
    <w:rsid w:val="00A26216"/>
    <w:rsid w:val="00A264B3"/>
    <w:rsid w:val="00A27377"/>
    <w:rsid w:val="00A36034"/>
    <w:rsid w:val="00A36A2C"/>
    <w:rsid w:val="00A375A5"/>
    <w:rsid w:val="00A37977"/>
    <w:rsid w:val="00A40093"/>
    <w:rsid w:val="00A40D25"/>
    <w:rsid w:val="00A41936"/>
    <w:rsid w:val="00A4215F"/>
    <w:rsid w:val="00A42DC5"/>
    <w:rsid w:val="00A444E3"/>
    <w:rsid w:val="00A5015D"/>
    <w:rsid w:val="00A50F0C"/>
    <w:rsid w:val="00A5141F"/>
    <w:rsid w:val="00A515E6"/>
    <w:rsid w:val="00A521F6"/>
    <w:rsid w:val="00A5391A"/>
    <w:rsid w:val="00A54AC9"/>
    <w:rsid w:val="00A562EB"/>
    <w:rsid w:val="00A56EBF"/>
    <w:rsid w:val="00A6009B"/>
    <w:rsid w:val="00A60900"/>
    <w:rsid w:val="00A60A7C"/>
    <w:rsid w:val="00A610F0"/>
    <w:rsid w:val="00A64CC7"/>
    <w:rsid w:val="00A65E29"/>
    <w:rsid w:val="00A7026E"/>
    <w:rsid w:val="00A70BBA"/>
    <w:rsid w:val="00A71478"/>
    <w:rsid w:val="00A75383"/>
    <w:rsid w:val="00A8108E"/>
    <w:rsid w:val="00A8125E"/>
    <w:rsid w:val="00A85A7E"/>
    <w:rsid w:val="00A900FD"/>
    <w:rsid w:val="00A909C8"/>
    <w:rsid w:val="00AA04D9"/>
    <w:rsid w:val="00AA06CA"/>
    <w:rsid w:val="00AA4345"/>
    <w:rsid w:val="00AA6128"/>
    <w:rsid w:val="00AA773C"/>
    <w:rsid w:val="00AB0BBA"/>
    <w:rsid w:val="00AB5E1B"/>
    <w:rsid w:val="00AB7937"/>
    <w:rsid w:val="00AC1499"/>
    <w:rsid w:val="00AC17BE"/>
    <w:rsid w:val="00AC19D4"/>
    <w:rsid w:val="00AC2AFE"/>
    <w:rsid w:val="00AC45B9"/>
    <w:rsid w:val="00AC777D"/>
    <w:rsid w:val="00AC7E57"/>
    <w:rsid w:val="00AD2EE3"/>
    <w:rsid w:val="00AD495E"/>
    <w:rsid w:val="00AD513A"/>
    <w:rsid w:val="00AE24D8"/>
    <w:rsid w:val="00AE5195"/>
    <w:rsid w:val="00AE56D8"/>
    <w:rsid w:val="00AE6491"/>
    <w:rsid w:val="00AF2168"/>
    <w:rsid w:val="00AF310A"/>
    <w:rsid w:val="00AF369E"/>
    <w:rsid w:val="00B06AE8"/>
    <w:rsid w:val="00B147F7"/>
    <w:rsid w:val="00B15802"/>
    <w:rsid w:val="00B16255"/>
    <w:rsid w:val="00B231B5"/>
    <w:rsid w:val="00B30AC1"/>
    <w:rsid w:val="00B31D8C"/>
    <w:rsid w:val="00B32000"/>
    <w:rsid w:val="00B34132"/>
    <w:rsid w:val="00B36772"/>
    <w:rsid w:val="00B43720"/>
    <w:rsid w:val="00B449B6"/>
    <w:rsid w:val="00B454CD"/>
    <w:rsid w:val="00B504D7"/>
    <w:rsid w:val="00B52454"/>
    <w:rsid w:val="00B5268B"/>
    <w:rsid w:val="00B529C5"/>
    <w:rsid w:val="00B548C5"/>
    <w:rsid w:val="00B54D06"/>
    <w:rsid w:val="00B61B32"/>
    <w:rsid w:val="00B624F7"/>
    <w:rsid w:val="00B62774"/>
    <w:rsid w:val="00B631B5"/>
    <w:rsid w:val="00B63CED"/>
    <w:rsid w:val="00B64C3A"/>
    <w:rsid w:val="00B64EA1"/>
    <w:rsid w:val="00B666AD"/>
    <w:rsid w:val="00B67D13"/>
    <w:rsid w:val="00B725F0"/>
    <w:rsid w:val="00B739B6"/>
    <w:rsid w:val="00B75B30"/>
    <w:rsid w:val="00B766AE"/>
    <w:rsid w:val="00B77B57"/>
    <w:rsid w:val="00B77E16"/>
    <w:rsid w:val="00B832F7"/>
    <w:rsid w:val="00B863AF"/>
    <w:rsid w:val="00B8770B"/>
    <w:rsid w:val="00B877A4"/>
    <w:rsid w:val="00B918AE"/>
    <w:rsid w:val="00B91C09"/>
    <w:rsid w:val="00B92D9A"/>
    <w:rsid w:val="00B960D1"/>
    <w:rsid w:val="00BA0E19"/>
    <w:rsid w:val="00BA3F51"/>
    <w:rsid w:val="00BB04F2"/>
    <w:rsid w:val="00BB0BF4"/>
    <w:rsid w:val="00BB4F51"/>
    <w:rsid w:val="00BB50E6"/>
    <w:rsid w:val="00BC2067"/>
    <w:rsid w:val="00BC3518"/>
    <w:rsid w:val="00BC696D"/>
    <w:rsid w:val="00BD1286"/>
    <w:rsid w:val="00BD398E"/>
    <w:rsid w:val="00BD3B43"/>
    <w:rsid w:val="00BD5030"/>
    <w:rsid w:val="00BD558A"/>
    <w:rsid w:val="00BD5C27"/>
    <w:rsid w:val="00BE04C4"/>
    <w:rsid w:val="00BE0D5E"/>
    <w:rsid w:val="00BE184F"/>
    <w:rsid w:val="00BE25EE"/>
    <w:rsid w:val="00BE2BC7"/>
    <w:rsid w:val="00BE2D2B"/>
    <w:rsid w:val="00BE54D9"/>
    <w:rsid w:val="00BE54DC"/>
    <w:rsid w:val="00BE6824"/>
    <w:rsid w:val="00BF4396"/>
    <w:rsid w:val="00BF496B"/>
    <w:rsid w:val="00BF5DCD"/>
    <w:rsid w:val="00BF6E90"/>
    <w:rsid w:val="00C01E73"/>
    <w:rsid w:val="00C05817"/>
    <w:rsid w:val="00C058E2"/>
    <w:rsid w:val="00C06972"/>
    <w:rsid w:val="00C07FAE"/>
    <w:rsid w:val="00C155B2"/>
    <w:rsid w:val="00C15DF1"/>
    <w:rsid w:val="00C212E9"/>
    <w:rsid w:val="00C21973"/>
    <w:rsid w:val="00C2245E"/>
    <w:rsid w:val="00C23642"/>
    <w:rsid w:val="00C24899"/>
    <w:rsid w:val="00C26854"/>
    <w:rsid w:val="00C33816"/>
    <w:rsid w:val="00C35A6C"/>
    <w:rsid w:val="00C37ECF"/>
    <w:rsid w:val="00C43F03"/>
    <w:rsid w:val="00C43F57"/>
    <w:rsid w:val="00C45699"/>
    <w:rsid w:val="00C45E6F"/>
    <w:rsid w:val="00C4700A"/>
    <w:rsid w:val="00C472B8"/>
    <w:rsid w:val="00C5481A"/>
    <w:rsid w:val="00C555E0"/>
    <w:rsid w:val="00C56CA7"/>
    <w:rsid w:val="00C57239"/>
    <w:rsid w:val="00C57343"/>
    <w:rsid w:val="00C62F1B"/>
    <w:rsid w:val="00C65A65"/>
    <w:rsid w:val="00C65CB7"/>
    <w:rsid w:val="00C837A5"/>
    <w:rsid w:val="00C85679"/>
    <w:rsid w:val="00C9066D"/>
    <w:rsid w:val="00C90A28"/>
    <w:rsid w:val="00C914BC"/>
    <w:rsid w:val="00C92092"/>
    <w:rsid w:val="00C93ABB"/>
    <w:rsid w:val="00CA02D1"/>
    <w:rsid w:val="00CA1376"/>
    <w:rsid w:val="00CA27F3"/>
    <w:rsid w:val="00CA3701"/>
    <w:rsid w:val="00CA6262"/>
    <w:rsid w:val="00CA6601"/>
    <w:rsid w:val="00CA6B69"/>
    <w:rsid w:val="00CA76E8"/>
    <w:rsid w:val="00CB1E30"/>
    <w:rsid w:val="00CB34CF"/>
    <w:rsid w:val="00CB5DFD"/>
    <w:rsid w:val="00CB7988"/>
    <w:rsid w:val="00CC4209"/>
    <w:rsid w:val="00CC43C3"/>
    <w:rsid w:val="00CC4906"/>
    <w:rsid w:val="00CC68DA"/>
    <w:rsid w:val="00CC6CE4"/>
    <w:rsid w:val="00CC7FC2"/>
    <w:rsid w:val="00CD1273"/>
    <w:rsid w:val="00CD1F79"/>
    <w:rsid w:val="00CD2498"/>
    <w:rsid w:val="00CD7288"/>
    <w:rsid w:val="00CE0671"/>
    <w:rsid w:val="00CE3212"/>
    <w:rsid w:val="00CE41B2"/>
    <w:rsid w:val="00CE7E90"/>
    <w:rsid w:val="00CF0F81"/>
    <w:rsid w:val="00CF1E8A"/>
    <w:rsid w:val="00CF2939"/>
    <w:rsid w:val="00CF2A74"/>
    <w:rsid w:val="00CF5B56"/>
    <w:rsid w:val="00CF7CBC"/>
    <w:rsid w:val="00D014D4"/>
    <w:rsid w:val="00D03DD2"/>
    <w:rsid w:val="00D04A8E"/>
    <w:rsid w:val="00D07338"/>
    <w:rsid w:val="00D07B64"/>
    <w:rsid w:val="00D146C0"/>
    <w:rsid w:val="00D15CF7"/>
    <w:rsid w:val="00D171E4"/>
    <w:rsid w:val="00D30177"/>
    <w:rsid w:val="00D32259"/>
    <w:rsid w:val="00D32734"/>
    <w:rsid w:val="00D356AF"/>
    <w:rsid w:val="00D35934"/>
    <w:rsid w:val="00D36060"/>
    <w:rsid w:val="00D37572"/>
    <w:rsid w:val="00D3765C"/>
    <w:rsid w:val="00D4274B"/>
    <w:rsid w:val="00D52033"/>
    <w:rsid w:val="00D52B29"/>
    <w:rsid w:val="00D54757"/>
    <w:rsid w:val="00D54E53"/>
    <w:rsid w:val="00D55195"/>
    <w:rsid w:val="00D5708F"/>
    <w:rsid w:val="00D57F8F"/>
    <w:rsid w:val="00D60F41"/>
    <w:rsid w:val="00D61775"/>
    <w:rsid w:val="00D6646D"/>
    <w:rsid w:val="00D7142E"/>
    <w:rsid w:val="00D71639"/>
    <w:rsid w:val="00D7392B"/>
    <w:rsid w:val="00D74146"/>
    <w:rsid w:val="00D76ED7"/>
    <w:rsid w:val="00D76FAE"/>
    <w:rsid w:val="00D824FA"/>
    <w:rsid w:val="00D84E4F"/>
    <w:rsid w:val="00D90E24"/>
    <w:rsid w:val="00D91308"/>
    <w:rsid w:val="00D93BE7"/>
    <w:rsid w:val="00D93E74"/>
    <w:rsid w:val="00DA1E79"/>
    <w:rsid w:val="00DA2B55"/>
    <w:rsid w:val="00DA3F06"/>
    <w:rsid w:val="00DB17A6"/>
    <w:rsid w:val="00DB66CA"/>
    <w:rsid w:val="00DB679B"/>
    <w:rsid w:val="00DC04F7"/>
    <w:rsid w:val="00DC1857"/>
    <w:rsid w:val="00DC2720"/>
    <w:rsid w:val="00DC5590"/>
    <w:rsid w:val="00DD0F1D"/>
    <w:rsid w:val="00DD17EB"/>
    <w:rsid w:val="00DD3E3E"/>
    <w:rsid w:val="00DD48DF"/>
    <w:rsid w:val="00DD5593"/>
    <w:rsid w:val="00DE3126"/>
    <w:rsid w:val="00DE4484"/>
    <w:rsid w:val="00DE513D"/>
    <w:rsid w:val="00DE6EC8"/>
    <w:rsid w:val="00DE7CA5"/>
    <w:rsid w:val="00DF1834"/>
    <w:rsid w:val="00DF244A"/>
    <w:rsid w:val="00DF6709"/>
    <w:rsid w:val="00E0127F"/>
    <w:rsid w:val="00E0192B"/>
    <w:rsid w:val="00E019F3"/>
    <w:rsid w:val="00E02093"/>
    <w:rsid w:val="00E0218A"/>
    <w:rsid w:val="00E03B1E"/>
    <w:rsid w:val="00E1120D"/>
    <w:rsid w:val="00E125A1"/>
    <w:rsid w:val="00E12AB1"/>
    <w:rsid w:val="00E17D98"/>
    <w:rsid w:val="00E23CC8"/>
    <w:rsid w:val="00E25B36"/>
    <w:rsid w:val="00E25BD7"/>
    <w:rsid w:val="00E30338"/>
    <w:rsid w:val="00E3278D"/>
    <w:rsid w:val="00E32B5C"/>
    <w:rsid w:val="00E34591"/>
    <w:rsid w:val="00E3737B"/>
    <w:rsid w:val="00E44863"/>
    <w:rsid w:val="00E44CCD"/>
    <w:rsid w:val="00E46047"/>
    <w:rsid w:val="00E46D4A"/>
    <w:rsid w:val="00E5374C"/>
    <w:rsid w:val="00E53A13"/>
    <w:rsid w:val="00E547AA"/>
    <w:rsid w:val="00E55075"/>
    <w:rsid w:val="00E5699D"/>
    <w:rsid w:val="00E615E0"/>
    <w:rsid w:val="00E61FD0"/>
    <w:rsid w:val="00E67909"/>
    <w:rsid w:val="00E70755"/>
    <w:rsid w:val="00E74A2D"/>
    <w:rsid w:val="00E764FB"/>
    <w:rsid w:val="00E777EF"/>
    <w:rsid w:val="00E81AED"/>
    <w:rsid w:val="00E81C08"/>
    <w:rsid w:val="00E8348C"/>
    <w:rsid w:val="00E83B8C"/>
    <w:rsid w:val="00E9134A"/>
    <w:rsid w:val="00E95985"/>
    <w:rsid w:val="00E9765D"/>
    <w:rsid w:val="00EA231F"/>
    <w:rsid w:val="00EA5E25"/>
    <w:rsid w:val="00EB53FB"/>
    <w:rsid w:val="00EB6E41"/>
    <w:rsid w:val="00EC131C"/>
    <w:rsid w:val="00ED03AF"/>
    <w:rsid w:val="00ED2003"/>
    <w:rsid w:val="00ED4848"/>
    <w:rsid w:val="00EE1E53"/>
    <w:rsid w:val="00EE3161"/>
    <w:rsid w:val="00EE4539"/>
    <w:rsid w:val="00EF2B99"/>
    <w:rsid w:val="00EF2E29"/>
    <w:rsid w:val="00EF7163"/>
    <w:rsid w:val="00EF7F81"/>
    <w:rsid w:val="00F000EA"/>
    <w:rsid w:val="00F00ACA"/>
    <w:rsid w:val="00F04243"/>
    <w:rsid w:val="00F051FA"/>
    <w:rsid w:val="00F118AC"/>
    <w:rsid w:val="00F12488"/>
    <w:rsid w:val="00F13898"/>
    <w:rsid w:val="00F15AE3"/>
    <w:rsid w:val="00F17BCC"/>
    <w:rsid w:val="00F228E9"/>
    <w:rsid w:val="00F24F9D"/>
    <w:rsid w:val="00F279F0"/>
    <w:rsid w:val="00F337F9"/>
    <w:rsid w:val="00F3445C"/>
    <w:rsid w:val="00F3506B"/>
    <w:rsid w:val="00F418B0"/>
    <w:rsid w:val="00F41FFB"/>
    <w:rsid w:val="00F53BAE"/>
    <w:rsid w:val="00F61EC1"/>
    <w:rsid w:val="00F622B4"/>
    <w:rsid w:val="00F6309F"/>
    <w:rsid w:val="00F656CD"/>
    <w:rsid w:val="00F67A13"/>
    <w:rsid w:val="00F74332"/>
    <w:rsid w:val="00F76E3F"/>
    <w:rsid w:val="00F77B15"/>
    <w:rsid w:val="00F807BB"/>
    <w:rsid w:val="00F81C7D"/>
    <w:rsid w:val="00F84610"/>
    <w:rsid w:val="00F868B8"/>
    <w:rsid w:val="00F87F28"/>
    <w:rsid w:val="00F905DE"/>
    <w:rsid w:val="00F926F7"/>
    <w:rsid w:val="00F92E59"/>
    <w:rsid w:val="00F93391"/>
    <w:rsid w:val="00F94F09"/>
    <w:rsid w:val="00F96194"/>
    <w:rsid w:val="00F96C51"/>
    <w:rsid w:val="00F97E92"/>
    <w:rsid w:val="00FA05D8"/>
    <w:rsid w:val="00FA122D"/>
    <w:rsid w:val="00FA129F"/>
    <w:rsid w:val="00FA40D0"/>
    <w:rsid w:val="00FC0E23"/>
    <w:rsid w:val="00FC1379"/>
    <w:rsid w:val="00FC24B6"/>
    <w:rsid w:val="00FC49F9"/>
    <w:rsid w:val="00FC4D2D"/>
    <w:rsid w:val="00FC589F"/>
    <w:rsid w:val="00FC59FE"/>
    <w:rsid w:val="00FC7B66"/>
    <w:rsid w:val="00FC7C67"/>
    <w:rsid w:val="00FD1281"/>
    <w:rsid w:val="00FD20AC"/>
    <w:rsid w:val="00FD2566"/>
    <w:rsid w:val="00FD37CB"/>
    <w:rsid w:val="00FD4478"/>
    <w:rsid w:val="00FD4962"/>
    <w:rsid w:val="00FD6295"/>
    <w:rsid w:val="00FE2356"/>
    <w:rsid w:val="00FE23AF"/>
    <w:rsid w:val="00FE48CF"/>
    <w:rsid w:val="00FF3968"/>
    <w:rsid w:val="00FF45B6"/>
    <w:rsid w:val="00FF4F00"/>
    <w:rsid w:val="00FF6844"/>
    <w:rsid w:val="04C94AE8"/>
    <w:rsid w:val="07C25985"/>
    <w:rsid w:val="08272627"/>
    <w:rsid w:val="0C1A68A0"/>
    <w:rsid w:val="0D9854C7"/>
    <w:rsid w:val="0F02268D"/>
    <w:rsid w:val="0F8807C9"/>
    <w:rsid w:val="162F61E0"/>
    <w:rsid w:val="1CD05221"/>
    <w:rsid w:val="1D394FF4"/>
    <w:rsid w:val="208748AC"/>
    <w:rsid w:val="26215ABB"/>
    <w:rsid w:val="27C87B77"/>
    <w:rsid w:val="28FE5D11"/>
    <w:rsid w:val="2C624BCB"/>
    <w:rsid w:val="2CC75140"/>
    <w:rsid w:val="306050C7"/>
    <w:rsid w:val="30E402A4"/>
    <w:rsid w:val="31DD3000"/>
    <w:rsid w:val="33721277"/>
    <w:rsid w:val="34280D47"/>
    <w:rsid w:val="34DB1D47"/>
    <w:rsid w:val="359E592D"/>
    <w:rsid w:val="359F5618"/>
    <w:rsid w:val="393F4C6D"/>
    <w:rsid w:val="3C5D17BA"/>
    <w:rsid w:val="3CA8582F"/>
    <w:rsid w:val="3D0F1849"/>
    <w:rsid w:val="3D2F3DA4"/>
    <w:rsid w:val="3E8569D5"/>
    <w:rsid w:val="40943897"/>
    <w:rsid w:val="43E3670E"/>
    <w:rsid w:val="44565ED9"/>
    <w:rsid w:val="445D154C"/>
    <w:rsid w:val="45C467FA"/>
    <w:rsid w:val="47AD341D"/>
    <w:rsid w:val="4950137C"/>
    <w:rsid w:val="4D765A6A"/>
    <w:rsid w:val="4F651052"/>
    <w:rsid w:val="4F775BE1"/>
    <w:rsid w:val="52F17D0A"/>
    <w:rsid w:val="55806337"/>
    <w:rsid w:val="56256312"/>
    <w:rsid w:val="595C7F69"/>
    <w:rsid w:val="598D50E6"/>
    <w:rsid w:val="5CCC67B4"/>
    <w:rsid w:val="5E7D363A"/>
    <w:rsid w:val="5FA02587"/>
    <w:rsid w:val="656A5E64"/>
    <w:rsid w:val="6E0021C8"/>
    <w:rsid w:val="70042CF3"/>
    <w:rsid w:val="70E14739"/>
    <w:rsid w:val="7CDF66FC"/>
    <w:rsid w:val="CBBF5DE5"/>
    <w:rsid w:val="EF7758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after="330" w:line="578" w:lineRule="auto"/>
      <w:outlineLvl w:val="0"/>
    </w:pPr>
    <w:rPr>
      <w:rFonts w:ascii="宋体" w:hAnsi="宋体"/>
      <w:b/>
      <w:bCs/>
      <w:kern w:val="44"/>
      <w:sz w:val="24"/>
      <w:szCs w:val="44"/>
    </w:rPr>
  </w:style>
  <w:style w:type="paragraph" w:styleId="4">
    <w:name w:val="heading 2"/>
    <w:basedOn w:val="1"/>
    <w:next w:val="1"/>
    <w:link w:val="49"/>
    <w:qFormat/>
    <w:uiPriority w:val="0"/>
    <w:pPr>
      <w:keepNext/>
      <w:keepLines/>
      <w:numPr>
        <w:ilvl w:val="1"/>
        <w:numId w:val="1"/>
      </w:numPr>
      <w:spacing w:before="260" w:after="260" w:line="415" w:lineRule="auto"/>
      <w:ind w:left="0"/>
      <w:outlineLvl w:val="1"/>
    </w:pPr>
    <w:rPr>
      <w:rFonts w:ascii="宋体" w:hAnsi="宋体"/>
      <w:b/>
      <w:bCs/>
      <w:sz w:val="24"/>
      <w:szCs w:val="32"/>
    </w:rPr>
  </w:style>
  <w:style w:type="paragraph" w:styleId="5">
    <w:name w:val="heading 3"/>
    <w:basedOn w:val="1"/>
    <w:next w:val="1"/>
    <w:qFormat/>
    <w:uiPriority w:val="0"/>
    <w:pPr>
      <w:keepNext/>
      <w:keepLines/>
      <w:numPr>
        <w:ilvl w:val="2"/>
        <w:numId w:val="1"/>
      </w:numPr>
      <w:spacing w:before="260" w:after="260" w:line="416" w:lineRule="auto"/>
      <w:outlineLvl w:val="2"/>
    </w:pPr>
    <w:rPr>
      <w:rFonts w:ascii="宋体" w:hAnsi="宋体"/>
      <w:b/>
      <w:bCs/>
      <w:sz w:val="24"/>
      <w:szCs w:val="32"/>
    </w:rPr>
  </w:style>
  <w:style w:type="paragraph" w:styleId="6">
    <w:name w:val="heading 4"/>
    <w:basedOn w:val="1"/>
    <w:next w:val="1"/>
    <w:qFormat/>
    <w:uiPriority w:val="0"/>
    <w:pPr>
      <w:keepNext/>
      <w:keepLines/>
      <w:numPr>
        <w:ilvl w:val="3"/>
        <w:numId w:val="1"/>
      </w:numPr>
      <w:spacing w:before="280" w:after="290" w:line="377" w:lineRule="auto"/>
      <w:ind w:left="57"/>
      <w:outlineLvl w:val="3"/>
    </w:pPr>
    <w:rPr>
      <w:rFonts w:ascii="Arial" w:hAnsi="Arial" w:eastAsia="黑体"/>
      <w:b/>
      <w:bCs/>
      <w:sz w:val="28"/>
      <w:szCs w:val="28"/>
    </w:rPr>
  </w:style>
  <w:style w:type="paragraph" w:styleId="7">
    <w:name w:val="heading 5"/>
    <w:basedOn w:val="1"/>
    <w:next w:val="1"/>
    <w:qFormat/>
    <w:uiPriority w:val="0"/>
    <w:pPr>
      <w:keepNext/>
      <w:keepLines/>
      <w:numPr>
        <w:ilvl w:val="4"/>
        <w:numId w:val="2"/>
      </w:numPr>
      <w:spacing w:before="280" w:after="290" w:line="376" w:lineRule="auto"/>
      <w:outlineLvl w:val="4"/>
    </w:pPr>
    <w:rPr>
      <w:b/>
      <w:bCs/>
      <w:sz w:val="28"/>
      <w:szCs w:val="28"/>
    </w:rPr>
  </w:style>
  <w:style w:type="paragraph" w:styleId="8">
    <w:name w:val="heading 6"/>
    <w:basedOn w:val="1"/>
    <w:next w:val="1"/>
    <w:qFormat/>
    <w:uiPriority w:val="0"/>
    <w:pPr>
      <w:numPr>
        <w:ilvl w:val="5"/>
        <w:numId w:val="3"/>
      </w:numPr>
      <w:tabs>
        <w:tab w:val="left" w:pos="425"/>
        <w:tab w:val="clear" w:pos="1152"/>
      </w:tabs>
      <w:autoSpaceDE w:val="0"/>
      <w:autoSpaceDN w:val="0"/>
      <w:adjustRightInd w:val="0"/>
      <w:spacing w:line="360" w:lineRule="auto"/>
      <w:ind w:left="425" w:hanging="425"/>
      <w:outlineLvl w:val="5"/>
    </w:pPr>
    <w:rPr>
      <w:kern w:val="0"/>
      <w:szCs w:val="20"/>
    </w:rPr>
  </w:style>
  <w:style w:type="paragraph" w:styleId="9">
    <w:name w:val="heading 7"/>
    <w:basedOn w:val="1"/>
    <w:next w:val="10"/>
    <w:qFormat/>
    <w:uiPriority w:val="0"/>
    <w:pPr>
      <w:keepNext/>
      <w:keepLines/>
      <w:numPr>
        <w:ilvl w:val="6"/>
        <w:numId w:val="3"/>
      </w:numPr>
      <w:tabs>
        <w:tab w:val="left" w:pos="425"/>
        <w:tab w:val="clear" w:pos="1296"/>
      </w:tabs>
      <w:spacing w:before="240" w:after="64" w:line="320" w:lineRule="auto"/>
      <w:ind w:left="425" w:hanging="425"/>
      <w:outlineLvl w:val="6"/>
    </w:pPr>
    <w:rPr>
      <w:b/>
      <w:sz w:val="24"/>
      <w:szCs w:val="20"/>
    </w:rPr>
  </w:style>
  <w:style w:type="paragraph" w:styleId="11">
    <w:name w:val="heading 8"/>
    <w:basedOn w:val="1"/>
    <w:next w:val="10"/>
    <w:qFormat/>
    <w:uiPriority w:val="0"/>
    <w:pPr>
      <w:keepNext/>
      <w:keepLines/>
      <w:numPr>
        <w:ilvl w:val="7"/>
        <w:numId w:val="3"/>
      </w:numPr>
      <w:tabs>
        <w:tab w:val="left" w:pos="425"/>
        <w:tab w:val="clear" w:pos="1440"/>
      </w:tabs>
      <w:spacing w:before="240" w:after="64" w:line="320" w:lineRule="auto"/>
      <w:ind w:left="425" w:hanging="425"/>
      <w:outlineLvl w:val="7"/>
    </w:pPr>
    <w:rPr>
      <w:rFonts w:ascii="Arial" w:hAnsi="Arial" w:eastAsia="黑体"/>
      <w:sz w:val="24"/>
      <w:szCs w:val="20"/>
    </w:rPr>
  </w:style>
  <w:style w:type="paragraph" w:styleId="12">
    <w:name w:val="heading 9"/>
    <w:basedOn w:val="1"/>
    <w:next w:val="10"/>
    <w:qFormat/>
    <w:uiPriority w:val="0"/>
    <w:pPr>
      <w:keepNext/>
      <w:keepLines/>
      <w:numPr>
        <w:ilvl w:val="8"/>
        <w:numId w:val="3"/>
      </w:numPr>
      <w:tabs>
        <w:tab w:val="left" w:pos="425"/>
        <w:tab w:val="clear" w:pos="1584"/>
      </w:tabs>
      <w:spacing w:before="240" w:after="64" w:line="320" w:lineRule="auto"/>
      <w:ind w:left="425" w:hanging="425"/>
      <w:outlineLvl w:val="8"/>
    </w:pPr>
    <w:rPr>
      <w:rFonts w:ascii="Arial" w:hAnsi="Arial" w:eastAsia="黑体"/>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10">
    <w:name w:val="Normal Indent"/>
    <w:basedOn w:val="1"/>
    <w:qFormat/>
    <w:uiPriority w:val="0"/>
    <w:pPr>
      <w:ind w:firstLine="420" w:firstLineChars="200"/>
    </w:p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Indent"/>
    <w:basedOn w:val="1"/>
    <w:qFormat/>
    <w:uiPriority w:val="0"/>
    <w:pPr>
      <w:ind w:firstLine="420" w:firstLineChars="200"/>
    </w:pPr>
  </w:style>
  <w:style w:type="paragraph" w:styleId="16">
    <w:name w:val="toc 3"/>
    <w:basedOn w:val="1"/>
    <w:next w:val="1"/>
    <w:semiHidden/>
    <w:qFormat/>
    <w:uiPriority w:val="0"/>
    <w:pPr>
      <w:ind w:left="840" w:leftChars="400"/>
    </w:pPr>
  </w:style>
  <w:style w:type="paragraph" w:styleId="17">
    <w:name w:val="Plain Text"/>
    <w:basedOn w:val="1"/>
    <w:qFormat/>
    <w:uiPriority w:val="0"/>
    <w:rPr>
      <w:rFonts w:ascii="宋体" w:hAnsi="Courier New"/>
      <w:szCs w:val="20"/>
    </w:rPr>
  </w:style>
  <w:style w:type="paragraph" w:styleId="18">
    <w:name w:val="Body Text Indent 2"/>
    <w:basedOn w:val="1"/>
    <w:qFormat/>
    <w:uiPriority w:val="0"/>
    <w:pPr>
      <w:spacing w:after="120" w:line="480" w:lineRule="auto"/>
      <w:ind w:left="420" w:leftChars="200"/>
    </w:pPr>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snapToGrid w:val="0"/>
      <w:jc w:val="left"/>
    </w:pPr>
    <w:rPr>
      <w:sz w:val="18"/>
      <w:szCs w:val="18"/>
    </w:rPr>
  </w:style>
  <w:style w:type="paragraph" w:styleId="21">
    <w:name w:val="header"/>
    <w:basedOn w:val="1"/>
    <w:link w:val="51"/>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style>
  <w:style w:type="paragraph" w:styleId="23">
    <w:name w:val="Body Text Indent 3"/>
    <w:basedOn w:val="1"/>
    <w:qFormat/>
    <w:uiPriority w:val="0"/>
    <w:pPr>
      <w:ind w:firstLine="420"/>
    </w:pPr>
    <w:rPr>
      <w:sz w:val="24"/>
    </w:rPr>
  </w:style>
  <w:style w:type="paragraph" w:styleId="24">
    <w:name w:val="toc 2"/>
    <w:basedOn w:val="1"/>
    <w:next w:val="1"/>
    <w:qFormat/>
    <w:uiPriority w:val="39"/>
    <w:pPr>
      <w:tabs>
        <w:tab w:val="left" w:pos="1050"/>
        <w:tab w:val="right" w:leader="dot" w:pos="8296"/>
      </w:tabs>
      <w:spacing w:line="360" w:lineRule="auto"/>
      <w:ind w:left="420" w:leftChars="200"/>
    </w:pPr>
  </w:style>
  <w:style w:type="paragraph" w:styleId="25">
    <w:name w:val="annotation subject"/>
    <w:basedOn w:val="14"/>
    <w:next w:val="14"/>
    <w:semiHidden/>
    <w:qFormat/>
    <w:uiPriority w:val="0"/>
    <w:rPr>
      <w:b/>
      <w:bCs/>
    </w:rPr>
  </w:style>
  <w:style w:type="table" w:styleId="27">
    <w:name w:val="Table Grid"/>
    <w:basedOn w:val="26"/>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Hyperlink"/>
    <w:qFormat/>
    <w:uiPriority w:val="0"/>
    <w:rPr>
      <w:color w:val="0000FF"/>
      <w:u w:val="single"/>
    </w:rPr>
  </w:style>
  <w:style w:type="character" w:styleId="31">
    <w:name w:val="annotation reference"/>
    <w:semiHidden/>
    <w:qFormat/>
    <w:uiPriority w:val="0"/>
    <w:rPr>
      <w:sz w:val="21"/>
      <w:szCs w:val="21"/>
    </w:rPr>
  </w:style>
  <w:style w:type="character" w:customStyle="1" w:styleId="32">
    <w:name w:val="已访问的超链接1"/>
    <w:qFormat/>
    <w:uiPriority w:val="0"/>
    <w:rPr>
      <w:color w:val="800080"/>
      <w:u w:val="single"/>
    </w:rPr>
  </w:style>
  <w:style w:type="paragraph" w:customStyle="1" w:styleId="33">
    <w:name w:val="文档正文"/>
    <w:basedOn w:val="1"/>
    <w:qFormat/>
    <w:uiPriority w:val="0"/>
    <w:pPr>
      <w:adjustRightInd w:val="0"/>
      <w:spacing w:line="480" w:lineRule="atLeast"/>
      <w:ind w:firstLine="567"/>
      <w:textAlignment w:val="baseline"/>
    </w:pPr>
    <w:rPr>
      <w:rFonts w:ascii="长城仿宋"/>
      <w:kern w:val="0"/>
      <w:sz w:val="24"/>
      <w:szCs w:val="20"/>
    </w:rPr>
  </w:style>
  <w:style w:type="character" w:customStyle="1" w:styleId="34">
    <w:name w:val="Heading 2 Char"/>
    <w:qFormat/>
    <w:uiPriority w:val="0"/>
    <w:rPr>
      <w:rFonts w:ascii="宋体" w:hAnsi="宋体" w:eastAsia="宋体"/>
      <w:b/>
      <w:bCs/>
      <w:kern w:val="2"/>
      <w:sz w:val="24"/>
      <w:szCs w:val="32"/>
      <w:lang w:val="en-US" w:eastAsia="zh-CN" w:bidi="ar-SA"/>
    </w:rPr>
  </w:style>
  <w:style w:type="paragraph" w:customStyle="1" w:styleId="35">
    <w:name w:val="Balloon Text1"/>
    <w:basedOn w:val="1"/>
    <w:semiHidden/>
    <w:qFormat/>
    <w:uiPriority w:val="0"/>
    <w:rPr>
      <w:sz w:val="16"/>
      <w:szCs w:val="16"/>
    </w:rPr>
  </w:style>
  <w:style w:type="paragraph" w:customStyle="1" w:styleId="36">
    <w:name w:val="1 标题"/>
    <w:basedOn w:val="3"/>
    <w:qFormat/>
    <w:uiPriority w:val="0"/>
    <w:pPr>
      <w:numPr>
        <w:ilvl w:val="0"/>
        <w:numId w:val="4"/>
      </w:numPr>
      <w:tabs>
        <w:tab w:val="left" w:pos="675"/>
      </w:tabs>
      <w:spacing w:before="160" w:after="160" w:line="240" w:lineRule="auto"/>
      <w:ind w:left="675" w:hanging="360"/>
      <w:jc w:val="left"/>
    </w:pPr>
    <w:rPr>
      <w:rFonts w:ascii="Times New Roman" w:hAnsi="Times New Roman" w:eastAsia="黑体"/>
      <w:bCs w:val="0"/>
      <w:sz w:val="28"/>
      <w:szCs w:val="20"/>
    </w:rPr>
  </w:style>
  <w:style w:type="paragraph" w:customStyle="1" w:styleId="37">
    <w:name w:val="1.1.1 标题"/>
    <w:basedOn w:val="3"/>
    <w:qFormat/>
    <w:uiPriority w:val="0"/>
    <w:pPr>
      <w:numPr>
        <w:ilvl w:val="2"/>
        <w:numId w:val="4"/>
      </w:numPr>
      <w:spacing w:before="0" w:after="0" w:line="360" w:lineRule="auto"/>
      <w:jc w:val="left"/>
      <w:outlineLvl w:val="2"/>
    </w:pPr>
    <w:rPr>
      <w:rFonts w:ascii="Times New Roman" w:hAnsi="Times New Roman"/>
      <w:b w:val="0"/>
      <w:bCs w:val="0"/>
      <w:sz w:val="21"/>
      <w:szCs w:val="20"/>
    </w:rPr>
  </w:style>
  <w:style w:type="paragraph" w:customStyle="1" w:styleId="38">
    <w:name w:val="1.1.1.1 标题"/>
    <w:basedOn w:val="36"/>
    <w:qFormat/>
    <w:uiPriority w:val="0"/>
    <w:pPr>
      <w:numPr>
        <w:ilvl w:val="3"/>
      </w:numPr>
      <w:tabs>
        <w:tab w:val="left" w:pos="425"/>
        <w:tab w:val="left" w:pos="1995"/>
      </w:tabs>
      <w:spacing w:before="0" w:after="0" w:line="240" w:lineRule="atLeast"/>
      <w:ind w:left="1995" w:hanging="420"/>
      <w:outlineLvl w:val="3"/>
    </w:pPr>
    <w:rPr>
      <w:rFonts w:eastAsia="宋体"/>
      <w:b w:val="0"/>
      <w:sz w:val="24"/>
    </w:rPr>
  </w:style>
  <w:style w:type="paragraph" w:customStyle="1" w:styleId="39">
    <w:name w:val="figure title"/>
    <w:basedOn w:val="1"/>
    <w:next w:val="1"/>
    <w:qFormat/>
    <w:uiPriority w:val="0"/>
    <w:pPr>
      <w:widowControl/>
      <w:spacing w:before="120"/>
      <w:jc w:val="center"/>
    </w:pPr>
    <w:rPr>
      <w:rFonts w:ascii="Arial" w:hAnsi="Arial"/>
      <w:kern w:val="0"/>
      <w:sz w:val="20"/>
      <w:szCs w:val="20"/>
      <w:lang w:eastAsia="en-US"/>
    </w:rPr>
  </w:style>
  <w:style w:type="paragraph" w:customStyle="1" w:styleId="40">
    <w:name w:val="表格题注"/>
    <w:next w:val="1"/>
    <w:qFormat/>
    <w:uiPriority w:val="0"/>
    <w:pPr>
      <w:keepLines/>
      <w:numPr>
        <w:ilvl w:val="8"/>
        <w:numId w:val="5"/>
      </w:numPr>
      <w:spacing w:before="240" w:beforeLines="100"/>
      <w:ind w:left="1089" w:hanging="369"/>
      <w:jc w:val="center"/>
    </w:pPr>
    <w:rPr>
      <w:rFonts w:ascii="Arial" w:hAnsi="Arial" w:eastAsia="宋体" w:cs="Times New Roman"/>
      <w:sz w:val="18"/>
      <w:szCs w:val="18"/>
      <w:lang w:val="en-US" w:eastAsia="zh-CN" w:bidi="ar-SA"/>
    </w:rPr>
  </w:style>
  <w:style w:type="paragraph" w:customStyle="1" w:styleId="41">
    <w:name w:val="插图题注"/>
    <w:next w:val="1"/>
    <w:qFormat/>
    <w:uiPriority w:val="0"/>
    <w:pPr>
      <w:numPr>
        <w:ilvl w:val="7"/>
        <w:numId w:val="5"/>
      </w:numPr>
      <w:spacing w:after="240" w:afterLines="100"/>
      <w:ind w:left="1089" w:hanging="369"/>
      <w:jc w:val="center"/>
    </w:pPr>
    <w:rPr>
      <w:rFonts w:ascii="Arial" w:hAnsi="Arial" w:eastAsia="宋体" w:cs="Times New Roman"/>
      <w:sz w:val="18"/>
      <w:szCs w:val="18"/>
      <w:lang w:val="en-US" w:eastAsia="zh-CN" w:bidi="ar-SA"/>
    </w:rPr>
  </w:style>
  <w:style w:type="paragraph" w:customStyle="1" w:styleId="42">
    <w:name w:val="Char Char1"/>
    <w:basedOn w:val="13"/>
    <w:qFormat/>
    <w:uiPriority w:val="0"/>
    <w:pPr>
      <w:adjustRightInd w:val="0"/>
      <w:spacing w:line="436" w:lineRule="exact"/>
      <w:ind w:left="357"/>
      <w:jc w:val="left"/>
      <w:outlineLvl w:val="3"/>
    </w:pPr>
    <w:rPr>
      <w:rFonts w:ascii="Tahoma" w:hAnsi="Tahoma"/>
      <w:b/>
      <w:sz w:val="24"/>
    </w:rPr>
  </w:style>
  <w:style w:type="paragraph" w:customStyle="1" w:styleId="43">
    <w:name w:val="列项细分"/>
    <w:basedOn w:val="1"/>
    <w:qFormat/>
    <w:uiPriority w:val="0"/>
    <w:pPr>
      <w:numPr>
        <w:ilvl w:val="0"/>
        <w:numId w:val="6"/>
      </w:numPr>
      <w:tabs>
        <w:tab w:val="decimal" w:pos="1161"/>
        <w:tab w:val="left" w:pos="1196"/>
        <w:tab w:val="clear" w:pos="1199"/>
      </w:tabs>
    </w:pPr>
    <w:rPr>
      <w:rFonts w:ascii="宋体"/>
      <w:szCs w:val="20"/>
    </w:rPr>
  </w:style>
  <w:style w:type="paragraph" w:customStyle="1" w:styleId="44">
    <w:name w:val="Char Char Char Char"/>
    <w:basedOn w:val="13"/>
    <w:qFormat/>
    <w:uiPriority w:val="0"/>
    <w:pPr>
      <w:adjustRightInd w:val="0"/>
      <w:spacing w:line="436" w:lineRule="exact"/>
      <w:ind w:left="357"/>
      <w:jc w:val="left"/>
      <w:outlineLvl w:val="3"/>
    </w:pPr>
    <w:rPr>
      <w:rFonts w:ascii="Tahoma" w:hAnsi="Tahoma"/>
      <w:b/>
      <w:sz w:val="24"/>
    </w:rPr>
  </w:style>
  <w:style w:type="paragraph" w:customStyle="1" w:styleId="45">
    <w:name w:val="Normal1"/>
    <w:basedOn w:val="1"/>
    <w:qFormat/>
    <w:uiPriority w:val="0"/>
    <w:pPr>
      <w:widowControl/>
      <w:overflowPunct w:val="0"/>
      <w:autoSpaceDE w:val="0"/>
      <w:autoSpaceDN w:val="0"/>
      <w:adjustRightInd w:val="0"/>
      <w:textAlignment w:val="baseline"/>
    </w:pPr>
    <w:rPr>
      <w:rFonts w:ascii="宋体"/>
      <w:kern w:val="0"/>
      <w:szCs w:val="20"/>
    </w:rPr>
  </w:style>
  <w:style w:type="paragraph" w:customStyle="1" w:styleId="46">
    <w:name w:val="列表段落1"/>
    <w:basedOn w:val="1"/>
    <w:qFormat/>
    <w:uiPriority w:val="34"/>
    <w:pPr>
      <w:ind w:firstLine="420" w:firstLineChars="200"/>
    </w:pPr>
  </w:style>
  <w:style w:type="paragraph" w:styleId="47">
    <w:name w:val="List Paragraph"/>
    <w:basedOn w:val="1"/>
    <w:qFormat/>
    <w:uiPriority w:val="99"/>
    <w:pPr>
      <w:ind w:firstLine="420" w:firstLineChars="200"/>
    </w:pPr>
  </w:style>
  <w:style w:type="paragraph" w:customStyle="1" w:styleId="48">
    <w:name w:val="列出段落1"/>
    <w:basedOn w:val="1"/>
    <w:qFormat/>
    <w:uiPriority w:val="34"/>
    <w:pPr>
      <w:widowControl/>
      <w:spacing w:line="300" w:lineRule="auto"/>
      <w:ind w:left="420" w:firstLine="420" w:firstLineChars="200"/>
    </w:pPr>
    <w:rPr>
      <w:rFonts w:ascii="Calibri" w:hAnsi="Calibri"/>
      <w:snapToGrid w:val="0"/>
      <w:kern w:val="0"/>
      <w:sz w:val="24"/>
    </w:rPr>
  </w:style>
  <w:style w:type="character" w:customStyle="1" w:styleId="49">
    <w:name w:val="标题 2 Char"/>
    <w:link w:val="4"/>
    <w:qFormat/>
    <w:uiPriority w:val="0"/>
    <w:rPr>
      <w:rFonts w:ascii="宋体" w:hAnsi="宋体"/>
      <w:b/>
      <w:bCs/>
      <w:kern w:val="2"/>
      <w:sz w:val="24"/>
      <w:szCs w:val="32"/>
    </w:rPr>
  </w:style>
  <w:style w:type="paragraph" w:customStyle="1" w:styleId="5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51">
    <w:name w:val="页眉 Char"/>
    <w:basedOn w:val="28"/>
    <w:link w:val="21"/>
    <w:qFormat/>
    <w:uiPriority w:val="99"/>
    <w:rPr>
      <w:kern w:val="2"/>
      <w:sz w:val="18"/>
      <w:szCs w:val="18"/>
    </w:rPr>
  </w:style>
  <w:style w:type="character" w:customStyle="1" w:styleId="52">
    <w:name w:val="font61"/>
    <w:basedOn w:val="28"/>
    <w:qFormat/>
    <w:uiPriority w:val="0"/>
    <w:rPr>
      <w:rFonts w:ascii="宋体" w:hAnsi="宋体" w:eastAsia="宋体" w:cs="宋体"/>
      <w:b/>
      <w:bCs/>
      <w:color w:val="000000"/>
      <w:sz w:val="40"/>
      <w:szCs w:val="40"/>
      <w:u w:val="none"/>
    </w:rPr>
  </w:style>
  <w:style w:type="character" w:customStyle="1" w:styleId="53">
    <w:name w:val="font71"/>
    <w:basedOn w:val="28"/>
    <w:qFormat/>
    <w:uiPriority w:val="0"/>
    <w:rPr>
      <w:rFonts w:ascii="宋体" w:hAnsi="宋体" w:eastAsia="宋体" w:cs="宋体"/>
      <w:color w:val="000000"/>
      <w:sz w:val="34"/>
      <w:szCs w:val="34"/>
      <w:u w:val="none"/>
    </w:rPr>
  </w:style>
  <w:style w:type="character" w:customStyle="1" w:styleId="54">
    <w:name w:val="font81"/>
    <w:basedOn w:val="28"/>
    <w:qFormat/>
    <w:uiPriority w:val="0"/>
    <w:rPr>
      <w:rFonts w:ascii="宋体" w:hAnsi="宋体" w:eastAsia="宋体" w:cs="宋体"/>
      <w:b/>
      <w:bCs/>
      <w:color w:val="000000"/>
      <w:sz w:val="34"/>
      <w:szCs w:val="34"/>
      <w:u w:val="none"/>
    </w:rPr>
  </w:style>
  <w:style w:type="character" w:customStyle="1" w:styleId="55">
    <w:name w:val="font41"/>
    <w:basedOn w:val="28"/>
    <w:qFormat/>
    <w:uiPriority w:val="0"/>
    <w:rPr>
      <w:rFonts w:hint="default" w:ascii="Arial" w:hAnsi="Arial" w:cs="Arial"/>
      <w:color w:val="000000"/>
      <w:sz w:val="34"/>
      <w:szCs w:val="34"/>
      <w:u w:val="none"/>
    </w:rPr>
  </w:style>
  <w:style w:type="character" w:customStyle="1" w:styleId="56">
    <w:name w:val="font51"/>
    <w:basedOn w:val="28"/>
    <w:qFormat/>
    <w:uiPriority w:val="0"/>
    <w:rPr>
      <w:rFonts w:hint="eastAsia" w:ascii="宋体" w:hAnsi="宋体" w:eastAsia="宋体" w:cs="宋体"/>
      <w:color w:val="000000"/>
      <w:sz w:val="34"/>
      <w:szCs w:val="3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xx</Company>
  <Pages>10</Pages>
  <Words>4501</Words>
  <Characters>4985</Characters>
  <Lines>53</Lines>
  <Paragraphs>15</Paragraphs>
  <TotalTime>5</TotalTime>
  <ScaleCrop>false</ScaleCrop>
  <LinksUpToDate>false</LinksUpToDate>
  <CharactersWithSpaces>5050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2025-06-09T01:42:00Z</dcterms:created>
  <dc:creator>xx</dc:creator>
  <cp:lastModifiedBy>EVA</cp:lastModifiedBy>
  <cp:lastPrinted>2005-12-19T21:13:00Z</cp:lastPrinted>
  <dcterms:modified xsi:type="dcterms:W3CDTF">2026-04-23T14:05:45Z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6EE52108D6B84FCBA4F8DDB9098F0667_13</vt:lpwstr>
  </property>
  <property fmtid="{D5CDD505-2E9C-101B-9397-08002B2CF9AE}" pid="4" name="KSOTemplateDocerSaveRecord">
    <vt:lpwstr>eyJoZGlkIjoiNDhhYzExNWJlOWU1ZWUzN2VmYTVmYzI0MmNjNGE5ZGEiLCJ1c2VySWQiOiIxOTQ1MDUyNTIifQ==</vt:lpwstr>
  </property>
</Properties>
</file>