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756E8A">
      <w:pPr>
        <w:spacing w:before="624" w:beforeLines="200" w:line="360" w:lineRule="auto"/>
        <w:jc w:val="center"/>
        <w:rPr>
          <w:rFonts w:hint="eastAsia" w:ascii="仿宋_GB2312" w:hAnsi="Arial" w:eastAsia="仿宋_GB2312" w:cs="Arial"/>
          <w:b/>
          <w:color w:val="000000"/>
          <w:sz w:val="32"/>
          <w:szCs w:val="32"/>
          <w:lang w:val="en-US" w:eastAsia="zh-CN"/>
        </w:rPr>
      </w:pPr>
      <w:bookmarkStart w:id="11" w:name="_GoBack"/>
      <w:bookmarkEnd w:id="11"/>
      <w:r>
        <w:rPr>
          <w:rFonts w:hint="eastAsia" w:ascii="仿宋_GB2312" w:hAnsi="Arial" w:eastAsia="仿宋_GB2312" w:cs="Arial"/>
          <w:b/>
          <w:color w:val="000000"/>
          <w:sz w:val="32"/>
          <w:szCs w:val="32"/>
        </w:rPr>
        <w:t>广州市红十字会医院</w:t>
      </w:r>
      <w:r>
        <w:rPr>
          <w:rFonts w:hint="eastAsia" w:ascii="仿宋_GB2312" w:hAnsi="Arial" w:eastAsia="仿宋_GB2312" w:cs="Arial"/>
          <w:b/>
          <w:color w:val="000000"/>
          <w:sz w:val="32"/>
          <w:szCs w:val="32"/>
          <w:lang w:val="en-US" w:eastAsia="zh-CN"/>
        </w:rPr>
        <w:t>DRGs综合评价管理系统升级改造项目</w:t>
      </w:r>
    </w:p>
    <w:p w14:paraId="2B673F85">
      <w:pPr>
        <w:spacing w:before="624" w:beforeLines="200" w:line="360" w:lineRule="auto"/>
        <w:jc w:val="center"/>
        <w:rPr>
          <w:rFonts w:hint="eastAsia" w:ascii="仿宋_GB2312" w:hAnsi="Arial" w:eastAsia="仿宋_GB2312" w:cs="Arial"/>
          <w:color w:val="000000"/>
          <w:sz w:val="32"/>
          <w:szCs w:val="32"/>
        </w:rPr>
      </w:pPr>
      <w:r>
        <w:rPr>
          <w:rFonts w:hint="eastAsia" w:ascii="仿宋_GB2312" w:hAnsi="Arial" w:eastAsia="仿宋_GB2312" w:cs="Arial"/>
          <w:b/>
          <w:color w:val="000000"/>
          <w:sz w:val="32"/>
          <w:szCs w:val="32"/>
        </w:rPr>
        <w:t>采购需求</w:t>
      </w:r>
    </w:p>
    <w:tbl>
      <w:tblPr>
        <w:tblStyle w:val="3"/>
        <w:tblpPr w:leftFromText="180" w:rightFromText="180" w:vertAnchor="text" w:horzAnchor="page" w:tblpX="1783" w:tblpY="1544"/>
        <w:tblOverlap w:val="never"/>
        <w:tblW w:w="88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"/>
        <w:gridCol w:w="8478"/>
      </w:tblGrid>
      <w:tr w14:paraId="6826D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5" w:type="dxa"/>
            <w:gridSpan w:val="2"/>
            <w:noWrap w:val="0"/>
            <w:vAlign w:val="center"/>
          </w:tcPr>
          <w:p w14:paraId="06FB339A">
            <w:pPr>
              <w:tabs>
                <w:tab w:val="left" w:pos="257"/>
              </w:tabs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bookmarkStart w:id="0" w:name="RANGE!A5:J806"/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一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ab/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、采购预算</w:t>
            </w:r>
            <w:bookmarkEnd w:id="0"/>
          </w:p>
        </w:tc>
      </w:tr>
      <w:tr w14:paraId="6A382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5" w:type="dxa"/>
            <w:gridSpan w:val="2"/>
            <w:noWrap w:val="0"/>
            <w:vAlign w:val="center"/>
          </w:tcPr>
          <w:p w14:paraId="6CD77634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人民币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u w:val="single"/>
                <w:lang w:val="en-US" w:eastAsia="zh-CN"/>
              </w:rPr>
              <w:t>贰拾伍万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元整</w:t>
            </w:r>
            <w:r>
              <w:rPr>
                <w:rFonts w:hint="eastAsia" w:ascii="仿宋_GB2312" w:hAnsi="仿宋" w:eastAsia="仿宋_GB2312" w:cs="宋体"/>
                <w:kern w:val="0"/>
                <w:szCs w:val="21"/>
              </w:rPr>
              <w:t>（￥</w:t>
            </w:r>
            <w:r>
              <w:rPr>
                <w:rFonts w:hint="eastAsia" w:ascii="仿宋_GB2312" w:hAnsi="仿宋" w:eastAsia="仿宋_GB2312" w:cs="宋体"/>
                <w:kern w:val="0"/>
                <w:szCs w:val="21"/>
                <w:u w:val="single"/>
                <w:lang w:val="en-US" w:eastAsia="zh-CN"/>
              </w:rPr>
              <w:t>250000.00</w:t>
            </w:r>
            <w:r>
              <w:rPr>
                <w:rFonts w:hint="eastAsia" w:ascii="仿宋_GB2312" w:hAnsi="仿宋" w:eastAsia="仿宋_GB2312" w:cs="宋体"/>
                <w:kern w:val="0"/>
                <w:szCs w:val="21"/>
              </w:rPr>
              <w:t>元）</w:t>
            </w:r>
          </w:p>
        </w:tc>
      </w:tr>
      <w:tr w14:paraId="2DD06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65" w:type="dxa"/>
            <w:gridSpan w:val="2"/>
            <w:noWrap w:val="0"/>
            <w:vAlign w:val="center"/>
          </w:tcPr>
          <w:p w14:paraId="62EC91D7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二、采购范围</w:t>
            </w:r>
          </w:p>
        </w:tc>
      </w:tr>
      <w:tr w14:paraId="020C5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7" w:type="dxa"/>
            <w:noWrap w:val="0"/>
            <w:vAlign w:val="center"/>
          </w:tcPr>
          <w:p w14:paraId="3A4B5840">
            <w:pPr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服务内容</w:t>
            </w:r>
          </w:p>
        </w:tc>
        <w:tc>
          <w:tcPr>
            <w:tcW w:w="8478" w:type="dxa"/>
            <w:noWrap w:val="0"/>
            <w:vAlign w:val="center"/>
          </w:tcPr>
          <w:p w14:paraId="168AC075">
            <w:pPr>
              <w:pStyle w:val="6"/>
              <w:rPr>
                <w:rFonts w:ascii="仿宋" w:hAnsi="仿宋" w:eastAsia="仿宋" w:cs="仿宋"/>
                <w:b/>
                <w:bCs/>
                <w:sz w:val="24"/>
              </w:rPr>
            </w:pPr>
            <w:bookmarkStart w:id="1" w:name="_Toc836596795"/>
            <w:bookmarkStart w:id="2" w:name="_Toc322292526"/>
            <w:bookmarkStart w:id="3" w:name="_Toc85918492"/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（一）</w:t>
            </w:r>
            <w:bookmarkEnd w:id="1"/>
            <w:bookmarkEnd w:id="2"/>
            <w:bookmarkEnd w:id="3"/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DRGs综合评价管理系统升级改造功能清单</w:t>
            </w:r>
          </w:p>
          <w:tbl>
            <w:tblPr>
              <w:tblStyle w:val="3"/>
              <w:tblpPr w:leftFromText="180" w:rightFromText="180" w:vertAnchor="text" w:horzAnchor="page" w:tblpX="226" w:tblpY="333"/>
              <w:tblOverlap w:val="never"/>
              <w:tblW w:w="8078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79"/>
              <w:gridCol w:w="1528"/>
              <w:gridCol w:w="5671"/>
            </w:tblGrid>
            <w:tr w14:paraId="5318EAD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Header/>
              </w:trPr>
              <w:tc>
                <w:tcPr>
                  <w:tcW w:w="879" w:type="dxa"/>
                  <w:shd w:val="clear" w:color="auto" w:fill="F2F2F2"/>
                  <w:noWrap w:val="0"/>
                  <w:vAlign w:val="top"/>
                </w:tcPr>
                <w:p w14:paraId="0CCA2C0F">
                  <w:pPr>
                    <w:spacing w:line="276" w:lineRule="auto"/>
                    <w:jc w:val="both"/>
                    <w:rPr>
                      <w:rFonts w:hint="eastAsia" w:ascii="宋体" w:hAnsi="宋体" w:eastAsia="宋体" w:cs="宋体"/>
                      <w:b/>
                      <w:bCs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sz w:val="21"/>
                      <w:szCs w:val="21"/>
                      <w:lang w:eastAsia="zh-CN"/>
                    </w:rPr>
                    <w:t>模块</w:t>
                  </w:r>
                </w:p>
              </w:tc>
              <w:tc>
                <w:tcPr>
                  <w:tcW w:w="1528" w:type="dxa"/>
                  <w:shd w:val="clear" w:color="auto" w:fill="F2F2F2"/>
                  <w:noWrap w:val="0"/>
                  <w:vAlign w:val="top"/>
                </w:tcPr>
                <w:p w14:paraId="0F9174B3">
                  <w:pPr>
                    <w:spacing w:line="276" w:lineRule="auto"/>
                    <w:jc w:val="both"/>
                    <w:rPr>
                      <w:rFonts w:hint="eastAsia" w:ascii="宋体" w:hAnsi="宋体" w:eastAsia="宋体" w:cs="宋体"/>
                      <w:b/>
                      <w:bCs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sz w:val="21"/>
                      <w:szCs w:val="21"/>
                      <w:lang w:val="en-US" w:eastAsia="zh-CN"/>
                    </w:rPr>
                    <w:t>小模块（功能）</w:t>
                  </w:r>
                </w:p>
              </w:tc>
              <w:tc>
                <w:tcPr>
                  <w:tcW w:w="5671" w:type="dxa"/>
                  <w:shd w:val="clear" w:color="auto" w:fill="F2F2F2"/>
                  <w:noWrap w:val="0"/>
                  <w:vAlign w:val="top"/>
                </w:tcPr>
                <w:p w14:paraId="052D032A">
                  <w:pPr>
                    <w:spacing w:line="276" w:lineRule="auto"/>
                    <w:jc w:val="center"/>
                    <w:rPr>
                      <w:rFonts w:hint="eastAsia" w:ascii="宋体" w:hAnsi="宋体" w:eastAsia="宋体" w:cs="宋体"/>
                      <w:b/>
                      <w:bCs/>
                      <w:sz w:val="21"/>
                      <w:szCs w:val="21"/>
                      <w:lang w:eastAsia="zh-CN"/>
                    </w:rPr>
                  </w:pPr>
                  <w:r>
                    <w:rPr>
                      <w:rFonts w:hint="eastAsia" w:ascii="宋体" w:hAnsi="宋体" w:eastAsia="宋体" w:cs="宋体"/>
                      <w:b/>
                      <w:bCs/>
                      <w:sz w:val="21"/>
                      <w:szCs w:val="21"/>
                      <w:lang w:eastAsia="zh-CN"/>
                    </w:rPr>
                    <w:t>详细功能描述</w:t>
                  </w:r>
                </w:p>
              </w:tc>
            </w:tr>
            <w:tr w14:paraId="22475B2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</w:trPr>
              <w:tc>
                <w:tcPr>
                  <w:tcW w:w="879" w:type="dxa"/>
                  <w:noWrap w:val="0"/>
                  <w:vAlign w:val="center"/>
                </w:tcPr>
                <w:p w14:paraId="37A0B923">
                  <w:pPr>
                    <w:keepNext w:val="0"/>
                    <w:keepLines w:val="0"/>
                    <w:widowControl/>
                    <w:suppressLineNumbers w:val="0"/>
                    <w:ind w:firstLine="0"/>
                    <w:jc w:val="center"/>
                    <w:textAlignment w:val="auto"/>
                    <w:rPr>
                      <w:rFonts w:hint="eastAsia" w:ascii="宋体" w:hAnsi="宋体" w:eastAsia="宋体" w:cs="宋体"/>
                      <w:color w:val="000000"/>
                      <w:spacing w:val="10"/>
                      <w:sz w:val="21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  <w:t>科室评价</w:t>
                  </w:r>
                </w:p>
              </w:tc>
              <w:tc>
                <w:tcPr>
                  <w:tcW w:w="1528" w:type="dxa"/>
                  <w:noWrap w:val="0"/>
                  <w:vAlign w:val="center"/>
                </w:tcPr>
                <w:p w14:paraId="47962A35">
                  <w:pPr>
                    <w:keepNext w:val="0"/>
                    <w:keepLines w:val="0"/>
                    <w:widowControl/>
                    <w:suppressLineNumbers w:val="0"/>
                    <w:ind w:firstLine="0"/>
                    <w:jc w:val="center"/>
                    <w:textAlignment w:val="auto"/>
                    <w:rPr>
                      <w:rFonts w:hint="eastAsia" w:ascii="宋体" w:hAnsi="宋体" w:eastAsia="宋体" w:cs="宋体"/>
                      <w:color w:val="000000"/>
                      <w:spacing w:val="10"/>
                      <w:sz w:val="21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  <w:t>科室分析报告</w:t>
                  </w:r>
                </w:p>
              </w:tc>
              <w:tc>
                <w:tcPr>
                  <w:tcW w:w="5671" w:type="dxa"/>
                  <w:noWrap w:val="0"/>
                  <w:vAlign w:val="center"/>
                </w:tcPr>
                <w:p w14:paraId="60D5B67A">
                  <w:pPr>
                    <w:keepNext w:val="0"/>
                    <w:keepLines w:val="0"/>
                    <w:widowControl/>
                    <w:suppressLineNumbers w:val="0"/>
                    <w:ind w:firstLine="48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000000"/>
                      <w:spacing w:val="10"/>
                      <w:sz w:val="21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  <w:t>基于科室分析数据，一键式生成科室分析报告，帮助科室了解自身关键指标数据情况、指标排名与对比、费用分析等内容，清晰呈现科室的整体状况</w:t>
                  </w:r>
                  <w:r>
                    <w:rPr>
                      <w:rFonts w:hint="eastAsia" w:ascii="宋体" w:hAnsi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  <w:t>。</w:t>
                  </w:r>
                </w:p>
              </w:tc>
            </w:tr>
            <w:tr w14:paraId="3C778AD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</w:trPr>
              <w:tc>
                <w:tcPr>
                  <w:tcW w:w="879" w:type="dxa"/>
                  <w:noWrap w:val="0"/>
                  <w:vAlign w:val="center"/>
                </w:tcPr>
                <w:p w14:paraId="28DA5B1F">
                  <w:pPr>
                    <w:keepNext w:val="0"/>
                    <w:keepLines w:val="0"/>
                    <w:widowControl/>
                    <w:suppressLineNumbers w:val="0"/>
                    <w:ind w:firstLine="0"/>
                    <w:jc w:val="center"/>
                    <w:textAlignment w:val="auto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  <w:t>DRG预分组</w:t>
                  </w:r>
                </w:p>
              </w:tc>
              <w:tc>
                <w:tcPr>
                  <w:tcW w:w="1528" w:type="dxa"/>
                  <w:noWrap w:val="0"/>
                  <w:vAlign w:val="center"/>
                </w:tcPr>
                <w:p w14:paraId="7D7CB50F">
                  <w:pPr>
                    <w:keepNext w:val="0"/>
                    <w:keepLines w:val="0"/>
                    <w:widowControl/>
                    <w:suppressLineNumbers w:val="0"/>
                    <w:ind w:firstLine="0"/>
                    <w:jc w:val="center"/>
                    <w:textAlignment w:val="auto"/>
                    <w:rPr>
                      <w:rFonts w:hint="default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  <w:t>DRG预分组功能</w:t>
                  </w:r>
                </w:p>
              </w:tc>
              <w:tc>
                <w:tcPr>
                  <w:tcW w:w="5671" w:type="dxa"/>
                  <w:noWrap w:val="0"/>
                  <w:vAlign w:val="center"/>
                </w:tcPr>
                <w:p w14:paraId="1D01B662">
                  <w:pPr>
                    <w:keepNext w:val="0"/>
                    <w:keepLines w:val="0"/>
                    <w:widowControl/>
                    <w:suppressLineNumbers w:val="0"/>
                    <w:ind w:firstLine="480"/>
                    <w:jc w:val="left"/>
                    <w:textAlignment w:val="auto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  <w:t>医师在HIS端填写首页时可触发分组按钮实时分组，即时将预判的分组结果反馈给业务人员，方便做即时调整。</w:t>
                  </w:r>
                </w:p>
              </w:tc>
            </w:tr>
            <w:tr w14:paraId="5CB14BA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</w:trPr>
              <w:tc>
                <w:tcPr>
                  <w:tcW w:w="879" w:type="dxa"/>
                  <w:vMerge w:val="restart"/>
                  <w:noWrap w:val="0"/>
                  <w:vAlign w:val="center"/>
                </w:tcPr>
                <w:p w14:paraId="4880025E">
                  <w:pPr>
                    <w:keepNext w:val="0"/>
                    <w:keepLines w:val="0"/>
                    <w:widowControl/>
                    <w:suppressLineNumbers w:val="0"/>
                    <w:ind w:firstLine="0"/>
                    <w:jc w:val="center"/>
                    <w:textAlignment w:val="auto"/>
                    <w:rPr>
                      <w:rFonts w:hint="eastAsia" w:ascii="宋体" w:hAnsi="宋体" w:eastAsia="宋体" w:cs="宋体"/>
                      <w:color w:val="000000"/>
                      <w:spacing w:val="10"/>
                      <w:sz w:val="21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  <w:t>费用分析</w:t>
                  </w:r>
                </w:p>
              </w:tc>
              <w:tc>
                <w:tcPr>
                  <w:tcW w:w="1528" w:type="dxa"/>
                  <w:noWrap w:val="0"/>
                  <w:vAlign w:val="center"/>
                </w:tcPr>
                <w:p w14:paraId="276C91F8">
                  <w:pPr>
                    <w:keepNext w:val="0"/>
                    <w:keepLines w:val="0"/>
                    <w:widowControl/>
                    <w:suppressLineNumbers w:val="0"/>
                    <w:ind w:firstLine="0"/>
                    <w:jc w:val="center"/>
                    <w:textAlignment w:val="auto"/>
                    <w:rPr>
                      <w:rFonts w:hint="eastAsia" w:ascii="宋体" w:hAnsi="宋体" w:eastAsia="宋体" w:cs="宋体"/>
                      <w:color w:val="000000"/>
                      <w:spacing w:val="10"/>
                      <w:sz w:val="21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  <w:t>费用差异分析</w:t>
                  </w:r>
                </w:p>
              </w:tc>
              <w:tc>
                <w:tcPr>
                  <w:tcW w:w="5671" w:type="dxa"/>
                  <w:noWrap w:val="0"/>
                  <w:vAlign w:val="center"/>
                </w:tcPr>
                <w:p w14:paraId="2916F787">
                  <w:pPr>
                    <w:keepNext w:val="0"/>
                    <w:keepLines w:val="0"/>
                    <w:widowControl/>
                    <w:suppressLineNumbers w:val="0"/>
                    <w:ind w:firstLine="48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000000"/>
                      <w:spacing w:val="10"/>
                      <w:sz w:val="21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  <w:t>支持用户自定义时间段，针对住院收入降低情况进行深入分析，通过DRG组维度剖析收治病组变化对收入下降的影响，并进一步分析同DRG组费用明细的波动情况，从而全面呈现医院总费用差异细节，助力医院精准把控费用变化趋势。</w:t>
                  </w:r>
                </w:p>
              </w:tc>
            </w:tr>
            <w:tr w14:paraId="7ED9E81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</w:trPr>
              <w:tc>
                <w:tcPr>
                  <w:tcW w:w="879" w:type="dxa"/>
                  <w:vMerge w:val="continue"/>
                  <w:noWrap w:val="0"/>
                  <w:vAlign w:val="center"/>
                </w:tcPr>
                <w:p w14:paraId="57DA87F8">
                  <w:pPr>
                    <w:ind w:firstLine="480"/>
                    <w:jc w:val="left"/>
                    <w:rPr>
                      <w:rFonts w:hint="eastAsia" w:ascii="宋体" w:hAnsi="宋体" w:cs="宋体"/>
                      <w:color w:val="000000"/>
                      <w:spacing w:val="10"/>
                      <w:u w:val="none"/>
                      <w:lang w:val="en-US" w:eastAsia="zh-CN" w:bidi="ar"/>
                    </w:rPr>
                  </w:pPr>
                </w:p>
              </w:tc>
              <w:tc>
                <w:tcPr>
                  <w:tcW w:w="1528" w:type="dxa"/>
                  <w:noWrap w:val="0"/>
                  <w:vAlign w:val="center"/>
                </w:tcPr>
                <w:p w14:paraId="24683893">
                  <w:pPr>
                    <w:keepNext w:val="0"/>
                    <w:keepLines w:val="0"/>
                    <w:widowControl/>
                    <w:suppressLineNumbers w:val="0"/>
                    <w:ind w:firstLine="0"/>
                    <w:jc w:val="center"/>
                    <w:textAlignment w:val="auto"/>
                    <w:rPr>
                      <w:rFonts w:hint="eastAsia" w:ascii="宋体" w:hAnsi="宋体" w:eastAsia="宋体" w:cs="宋体"/>
                      <w:color w:val="000000"/>
                      <w:spacing w:val="10"/>
                      <w:sz w:val="21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  <w:t>药品多指标分析</w:t>
                  </w:r>
                </w:p>
              </w:tc>
              <w:tc>
                <w:tcPr>
                  <w:tcW w:w="5671" w:type="dxa"/>
                  <w:noWrap w:val="0"/>
                  <w:vAlign w:val="center"/>
                </w:tcPr>
                <w:p w14:paraId="5E0BCC9A">
                  <w:pPr>
                    <w:keepNext w:val="0"/>
                    <w:keepLines w:val="0"/>
                    <w:widowControl/>
                    <w:suppressLineNumbers w:val="0"/>
                    <w:ind w:firstLine="48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000000"/>
                      <w:spacing w:val="10"/>
                      <w:sz w:val="21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  <w:t>以DRG组的维度展开，分析同一诊断在不同科室的各项药品费用情况。对比药品费用占比及变化，精准识别不合理用药情况，为优化用药方案、促进临床合理用药提供有力支持，助力提升医疗质量与安全。</w:t>
                  </w:r>
                </w:p>
              </w:tc>
            </w:tr>
            <w:tr w14:paraId="75BEC28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</w:trPr>
              <w:tc>
                <w:tcPr>
                  <w:tcW w:w="879" w:type="dxa"/>
                  <w:vMerge w:val="continue"/>
                  <w:noWrap w:val="0"/>
                  <w:vAlign w:val="center"/>
                </w:tcPr>
                <w:p w14:paraId="26490FB6">
                  <w:pPr>
                    <w:ind w:firstLine="480"/>
                    <w:jc w:val="left"/>
                    <w:rPr>
                      <w:rFonts w:hint="eastAsia" w:ascii="宋体" w:hAnsi="宋体" w:eastAsia="宋体" w:cs="宋体"/>
                      <w:color w:val="000000"/>
                      <w:spacing w:val="10"/>
                      <w:sz w:val="21"/>
                      <w:szCs w:val="22"/>
                      <w:u w:val="none"/>
                      <w:lang w:bidi="ar"/>
                    </w:rPr>
                  </w:pPr>
                </w:p>
              </w:tc>
              <w:tc>
                <w:tcPr>
                  <w:tcW w:w="1528" w:type="dxa"/>
                  <w:noWrap w:val="0"/>
                  <w:vAlign w:val="center"/>
                </w:tcPr>
                <w:p w14:paraId="6B4AC3FC">
                  <w:pPr>
                    <w:keepNext w:val="0"/>
                    <w:keepLines w:val="0"/>
                    <w:widowControl/>
                    <w:suppressLineNumbers w:val="0"/>
                    <w:ind w:firstLine="0"/>
                    <w:jc w:val="center"/>
                    <w:textAlignment w:val="auto"/>
                    <w:rPr>
                      <w:rFonts w:hint="eastAsia" w:ascii="宋体" w:hAnsi="宋体" w:eastAsia="宋体" w:cs="宋体"/>
                      <w:color w:val="000000"/>
                      <w:spacing w:val="10"/>
                      <w:sz w:val="21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  <w:t>耗材多指标分析</w:t>
                  </w:r>
                </w:p>
              </w:tc>
              <w:tc>
                <w:tcPr>
                  <w:tcW w:w="5671" w:type="dxa"/>
                  <w:noWrap w:val="0"/>
                  <w:vAlign w:val="center"/>
                </w:tcPr>
                <w:p w14:paraId="3D924085">
                  <w:pPr>
                    <w:keepNext w:val="0"/>
                    <w:keepLines w:val="0"/>
                    <w:widowControl/>
                    <w:suppressLineNumbers w:val="0"/>
                    <w:ind w:firstLine="48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000000"/>
                      <w:spacing w:val="10"/>
                      <w:sz w:val="21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  <w:t>以DRG组的维度展开，分析同一手术在不同科室的各项耗材费用情况。通过精准对比耗材费用占比的差值，敏锐识别出存在超量使用的病例，进而为优化临床耗材使用路径提供有力依据，助力医院实现耗材费用的精细化管理。</w:t>
                  </w:r>
                </w:p>
              </w:tc>
            </w:tr>
            <w:tr w14:paraId="2F2023C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</w:trPr>
              <w:tc>
                <w:tcPr>
                  <w:tcW w:w="879" w:type="dxa"/>
                  <w:vMerge w:val="continue"/>
                  <w:noWrap w:val="0"/>
                  <w:vAlign w:val="center"/>
                </w:tcPr>
                <w:p w14:paraId="0EAFCAC8">
                  <w:pPr>
                    <w:ind w:firstLine="480"/>
                    <w:jc w:val="left"/>
                    <w:rPr>
                      <w:rFonts w:hint="eastAsia" w:ascii="宋体" w:hAnsi="宋体" w:eastAsia="宋体" w:cs="宋体"/>
                      <w:color w:val="000000"/>
                      <w:spacing w:val="10"/>
                      <w:sz w:val="21"/>
                      <w:szCs w:val="22"/>
                      <w:u w:val="none"/>
                      <w:lang w:bidi="ar"/>
                    </w:rPr>
                  </w:pPr>
                </w:p>
              </w:tc>
              <w:tc>
                <w:tcPr>
                  <w:tcW w:w="1528" w:type="dxa"/>
                  <w:noWrap w:val="0"/>
                  <w:vAlign w:val="center"/>
                </w:tcPr>
                <w:p w14:paraId="0954AD01">
                  <w:pPr>
                    <w:keepNext w:val="0"/>
                    <w:keepLines w:val="0"/>
                    <w:widowControl/>
                    <w:suppressLineNumbers w:val="0"/>
                    <w:ind w:firstLine="0"/>
                    <w:jc w:val="center"/>
                    <w:textAlignment w:val="auto"/>
                    <w:rPr>
                      <w:rFonts w:hint="eastAsia" w:ascii="宋体" w:hAnsi="宋体" w:eastAsia="宋体" w:cs="宋体"/>
                      <w:color w:val="000000"/>
                      <w:spacing w:val="10"/>
                      <w:sz w:val="21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  <w:t>抗菌药物分析</w:t>
                  </w:r>
                </w:p>
              </w:tc>
              <w:tc>
                <w:tcPr>
                  <w:tcW w:w="5671" w:type="dxa"/>
                  <w:noWrap w:val="0"/>
                  <w:vAlign w:val="center"/>
                </w:tcPr>
                <w:p w14:paraId="6A62AF26">
                  <w:pPr>
                    <w:keepNext w:val="0"/>
                    <w:keepLines w:val="0"/>
                    <w:widowControl/>
                    <w:suppressLineNumbers w:val="0"/>
                    <w:ind w:firstLine="48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000000"/>
                      <w:spacing w:val="10"/>
                      <w:sz w:val="21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  <w:t>统计抗菌药物的使用情况，精准评估药物使用的合理性，有效减少不必要的处方，从而提高治疗效果，同时优化抗菌药物的使用，保障患者安全并提升合理用药水平。</w:t>
                  </w:r>
                </w:p>
              </w:tc>
            </w:tr>
            <w:tr w14:paraId="4959540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</w:trPr>
              <w:tc>
                <w:tcPr>
                  <w:tcW w:w="879" w:type="dxa"/>
                  <w:vMerge w:val="restart"/>
                  <w:noWrap w:val="0"/>
                  <w:vAlign w:val="center"/>
                </w:tcPr>
                <w:p w14:paraId="3E320EB8">
                  <w:pPr>
                    <w:keepNext w:val="0"/>
                    <w:keepLines w:val="0"/>
                    <w:widowControl/>
                    <w:suppressLineNumbers w:val="0"/>
                    <w:ind w:firstLine="0"/>
                    <w:jc w:val="center"/>
                    <w:textAlignment w:val="auto"/>
                    <w:rPr>
                      <w:rFonts w:hint="eastAsia" w:ascii="宋体" w:hAnsi="宋体" w:eastAsia="宋体" w:cs="宋体"/>
                      <w:color w:val="000000"/>
                      <w:spacing w:val="10"/>
                      <w:sz w:val="21"/>
                      <w:szCs w:val="22"/>
                      <w:u w:val="none"/>
                      <w:lang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  <w:t>学科建设</w:t>
                  </w:r>
                </w:p>
              </w:tc>
              <w:tc>
                <w:tcPr>
                  <w:tcW w:w="1528" w:type="dxa"/>
                  <w:noWrap w:val="0"/>
                  <w:vAlign w:val="center"/>
                </w:tcPr>
                <w:p w14:paraId="56D5176C">
                  <w:pPr>
                    <w:keepNext w:val="0"/>
                    <w:keepLines w:val="0"/>
                    <w:widowControl/>
                    <w:suppressLineNumbers w:val="0"/>
                    <w:ind w:firstLine="0"/>
                    <w:jc w:val="center"/>
                    <w:textAlignment w:val="auto"/>
                    <w:rPr>
                      <w:rFonts w:hint="eastAsia" w:ascii="宋体" w:hAnsi="宋体" w:eastAsia="宋体" w:cs="宋体"/>
                      <w:color w:val="000000"/>
                      <w:spacing w:val="10"/>
                      <w:sz w:val="21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  <w:t>覆盖率分析</w:t>
                  </w:r>
                </w:p>
              </w:tc>
              <w:tc>
                <w:tcPr>
                  <w:tcW w:w="5671" w:type="dxa"/>
                  <w:noWrap w:val="0"/>
                  <w:vAlign w:val="center"/>
                </w:tcPr>
                <w:p w14:paraId="2B003B8A">
                  <w:pPr>
                    <w:keepNext w:val="0"/>
                    <w:keepLines w:val="0"/>
                    <w:widowControl/>
                    <w:suppressLineNumbers w:val="0"/>
                    <w:ind w:firstLine="48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000000"/>
                      <w:spacing w:val="10"/>
                      <w:sz w:val="21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  <w:t>从MDC、DRG组等不同维度分析覆盖情况，对比全省病例DRG组的覆盖情况，助力医院洞察学科覆盖范围与行业水平的差距，为优化学科布局、提升医疗服务质量提供有力依据。</w:t>
                  </w:r>
                </w:p>
              </w:tc>
            </w:tr>
            <w:tr w14:paraId="2E14A21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</w:trPr>
              <w:tc>
                <w:tcPr>
                  <w:tcW w:w="879" w:type="dxa"/>
                  <w:vMerge w:val="continue"/>
                  <w:noWrap w:val="0"/>
                  <w:vAlign w:val="center"/>
                </w:tcPr>
                <w:p w14:paraId="10450D31">
                  <w:pPr>
                    <w:ind w:firstLine="480"/>
                    <w:jc w:val="left"/>
                    <w:rPr>
                      <w:rFonts w:hint="eastAsia" w:ascii="宋体" w:hAnsi="宋体" w:eastAsia="宋体" w:cs="宋体"/>
                      <w:color w:val="000000"/>
                      <w:spacing w:val="10"/>
                      <w:sz w:val="21"/>
                      <w:szCs w:val="22"/>
                      <w:u w:val="none"/>
                      <w:lang w:bidi="ar"/>
                    </w:rPr>
                  </w:pPr>
                </w:p>
              </w:tc>
              <w:tc>
                <w:tcPr>
                  <w:tcW w:w="1528" w:type="dxa"/>
                  <w:noWrap w:val="0"/>
                  <w:vAlign w:val="center"/>
                </w:tcPr>
                <w:p w14:paraId="5C0B99D5">
                  <w:pPr>
                    <w:keepNext w:val="0"/>
                    <w:keepLines w:val="0"/>
                    <w:widowControl/>
                    <w:suppressLineNumbers w:val="0"/>
                    <w:ind w:firstLine="0"/>
                    <w:jc w:val="center"/>
                    <w:textAlignment w:val="auto"/>
                    <w:rPr>
                      <w:rFonts w:hint="eastAsia" w:ascii="宋体" w:hAnsi="宋体" w:eastAsia="宋体" w:cs="宋体"/>
                      <w:color w:val="000000"/>
                      <w:spacing w:val="10"/>
                      <w:sz w:val="21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  <w:t>临床专科分析</w:t>
                  </w:r>
                </w:p>
              </w:tc>
              <w:tc>
                <w:tcPr>
                  <w:tcW w:w="5671" w:type="dxa"/>
                  <w:noWrap w:val="0"/>
                  <w:vAlign w:val="center"/>
                </w:tcPr>
                <w:p w14:paraId="7BF482B8">
                  <w:pPr>
                    <w:keepNext w:val="0"/>
                    <w:keepLines w:val="0"/>
                    <w:widowControl/>
                    <w:suppressLineNumbers w:val="0"/>
                    <w:ind w:firstLine="48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000000"/>
                      <w:spacing w:val="10"/>
                      <w:sz w:val="21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  <w:t>统计各临床专科DRG各项指标数据，深入分析各科室在内科、外科和非手术操作领域的收治情况，从而助于明确科室的疾病治疗结构，为科室的精细化管理提供数据支持。</w:t>
                  </w:r>
                </w:p>
              </w:tc>
            </w:tr>
            <w:tr w14:paraId="071E4AC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</w:trPr>
              <w:tc>
                <w:tcPr>
                  <w:tcW w:w="879" w:type="dxa"/>
                  <w:vMerge w:val="continue"/>
                  <w:noWrap w:val="0"/>
                  <w:vAlign w:val="center"/>
                </w:tcPr>
                <w:p w14:paraId="066660F2">
                  <w:pPr>
                    <w:ind w:firstLine="480"/>
                    <w:jc w:val="left"/>
                    <w:rPr>
                      <w:rFonts w:hint="eastAsia" w:ascii="宋体" w:hAnsi="宋体" w:eastAsia="宋体" w:cs="宋体"/>
                      <w:color w:val="000000"/>
                      <w:spacing w:val="10"/>
                      <w:sz w:val="21"/>
                      <w:szCs w:val="22"/>
                      <w:u w:val="none"/>
                      <w:lang w:bidi="ar"/>
                    </w:rPr>
                  </w:pPr>
                </w:p>
              </w:tc>
              <w:tc>
                <w:tcPr>
                  <w:tcW w:w="1528" w:type="dxa"/>
                  <w:noWrap w:val="0"/>
                  <w:vAlign w:val="center"/>
                </w:tcPr>
                <w:p w14:paraId="0BE6BA6E">
                  <w:pPr>
                    <w:keepNext w:val="0"/>
                    <w:keepLines w:val="0"/>
                    <w:widowControl/>
                    <w:suppressLineNumbers w:val="0"/>
                    <w:ind w:firstLine="0"/>
                    <w:jc w:val="center"/>
                    <w:textAlignment w:val="auto"/>
                    <w:rPr>
                      <w:rFonts w:hint="eastAsia" w:ascii="宋体" w:hAnsi="宋体" w:eastAsia="宋体" w:cs="宋体"/>
                      <w:color w:val="000000"/>
                      <w:spacing w:val="10"/>
                      <w:sz w:val="21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  <w:t>专病专治</w:t>
                  </w:r>
                </w:p>
              </w:tc>
              <w:tc>
                <w:tcPr>
                  <w:tcW w:w="5671" w:type="dxa"/>
                  <w:noWrap w:val="0"/>
                  <w:vAlign w:val="center"/>
                </w:tcPr>
                <w:p w14:paraId="59DC59EF">
                  <w:pPr>
                    <w:keepNext w:val="0"/>
                    <w:keepLines w:val="0"/>
                    <w:widowControl/>
                    <w:suppressLineNumbers w:val="0"/>
                    <w:ind w:firstLine="48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000000"/>
                      <w:spacing w:val="10"/>
                      <w:sz w:val="21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  <w:t>结合18版分组方案，统计专科收治范围，通过计算某临床专科收治的DRG病组数量占其收治范围的比例，反映该专科的疾病覆盖广度，强化“专病专治”理念。</w:t>
                  </w:r>
                </w:p>
              </w:tc>
            </w:tr>
            <w:tr w14:paraId="1B435FA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</w:trPr>
              <w:tc>
                <w:tcPr>
                  <w:tcW w:w="879" w:type="dxa"/>
                  <w:vMerge w:val="continue"/>
                  <w:noWrap w:val="0"/>
                  <w:vAlign w:val="center"/>
                </w:tcPr>
                <w:p w14:paraId="6B502351">
                  <w:pPr>
                    <w:ind w:firstLine="480"/>
                    <w:jc w:val="left"/>
                    <w:rPr>
                      <w:rFonts w:hint="eastAsia" w:ascii="宋体" w:hAnsi="宋体" w:eastAsia="宋体" w:cs="宋体"/>
                      <w:color w:val="000000"/>
                      <w:spacing w:val="10"/>
                      <w:sz w:val="21"/>
                      <w:szCs w:val="22"/>
                      <w:u w:val="none"/>
                      <w:lang w:bidi="ar"/>
                    </w:rPr>
                  </w:pPr>
                </w:p>
              </w:tc>
              <w:tc>
                <w:tcPr>
                  <w:tcW w:w="1528" w:type="dxa"/>
                  <w:noWrap w:val="0"/>
                  <w:vAlign w:val="center"/>
                </w:tcPr>
                <w:p w14:paraId="192391DC">
                  <w:pPr>
                    <w:keepNext w:val="0"/>
                    <w:keepLines w:val="0"/>
                    <w:widowControl/>
                    <w:suppressLineNumbers w:val="0"/>
                    <w:ind w:firstLine="0"/>
                    <w:jc w:val="center"/>
                    <w:textAlignment w:val="auto"/>
                    <w:rPr>
                      <w:rFonts w:hint="eastAsia" w:ascii="宋体" w:hAnsi="宋体" w:eastAsia="宋体" w:cs="宋体"/>
                      <w:color w:val="000000"/>
                      <w:spacing w:val="10"/>
                      <w:sz w:val="21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  <w:t>同病同治</w:t>
                  </w:r>
                </w:p>
              </w:tc>
              <w:tc>
                <w:tcPr>
                  <w:tcW w:w="5671" w:type="dxa"/>
                  <w:noWrap w:val="0"/>
                  <w:vAlign w:val="center"/>
                </w:tcPr>
                <w:p w14:paraId="75476E49">
                  <w:pPr>
                    <w:keepNext w:val="0"/>
                    <w:keepLines w:val="0"/>
                    <w:widowControl/>
                    <w:suppressLineNumbers w:val="0"/>
                    <w:ind w:firstLine="48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000000"/>
                      <w:spacing w:val="10"/>
                      <w:sz w:val="21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  <w:t>分析同一DRG病组下各科室的效率指标，对比全省标准，对显著高于省标准值的科室进行预警。分析对应科室的费用结构，发现药品和耗材的使用情况是导致费用超高的关键因素，为医院优化资源配置、控制成本提供精准依据。</w:t>
                  </w:r>
                </w:p>
              </w:tc>
            </w:tr>
            <w:tr w14:paraId="5197481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</w:trPr>
              <w:tc>
                <w:tcPr>
                  <w:tcW w:w="879" w:type="dxa"/>
                  <w:vMerge w:val="continue"/>
                  <w:noWrap w:val="0"/>
                  <w:vAlign w:val="center"/>
                </w:tcPr>
                <w:p w14:paraId="4FB8ABA2">
                  <w:pPr>
                    <w:ind w:firstLine="480"/>
                    <w:jc w:val="left"/>
                    <w:rPr>
                      <w:rFonts w:hint="eastAsia" w:ascii="宋体" w:hAnsi="宋体" w:eastAsia="宋体" w:cs="宋体"/>
                      <w:color w:val="000000"/>
                      <w:spacing w:val="10"/>
                      <w:sz w:val="21"/>
                      <w:szCs w:val="22"/>
                      <w:u w:val="none"/>
                      <w:lang w:bidi="ar"/>
                    </w:rPr>
                  </w:pPr>
                </w:p>
              </w:tc>
              <w:tc>
                <w:tcPr>
                  <w:tcW w:w="1528" w:type="dxa"/>
                  <w:noWrap w:val="0"/>
                  <w:vAlign w:val="center"/>
                </w:tcPr>
                <w:p w14:paraId="724E9DE7">
                  <w:pPr>
                    <w:keepNext w:val="0"/>
                    <w:keepLines w:val="0"/>
                    <w:widowControl/>
                    <w:suppressLineNumbers w:val="0"/>
                    <w:ind w:firstLine="0"/>
                    <w:jc w:val="center"/>
                    <w:textAlignment w:val="auto"/>
                    <w:rPr>
                      <w:rFonts w:hint="eastAsia" w:ascii="宋体" w:hAnsi="宋体" w:eastAsia="宋体" w:cs="宋体"/>
                      <w:color w:val="000000"/>
                      <w:spacing w:val="10"/>
                      <w:sz w:val="21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  <w:t>重点病组</w:t>
                  </w:r>
                </w:p>
              </w:tc>
              <w:tc>
                <w:tcPr>
                  <w:tcW w:w="5671" w:type="dxa"/>
                  <w:noWrap w:val="0"/>
                  <w:vAlign w:val="center"/>
                </w:tcPr>
                <w:p w14:paraId="076AFA90">
                  <w:pPr>
                    <w:keepNext w:val="0"/>
                    <w:keepLines w:val="0"/>
                    <w:widowControl/>
                    <w:suppressLineNumbers w:val="0"/>
                    <w:ind w:firstLine="48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000000"/>
                      <w:spacing w:val="10"/>
                      <w:sz w:val="21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  <w:t>结合“20%病组影响80%收入”的原则，精准聚焦关键病组，分析病组RW值与费用指数差异，锁定高潜力病组以提升收益。通过趋势分析追踪病组的平均住院日和例均费用变化，为医院优化资源配置、提高运营效率提供有力支持。</w:t>
                  </w:r>
                </w:p>
              </w:tc>
            </w:tr>
            <w:tr w14:paraId="5364417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</w:trPr>
              <w:tc>
                <w:tcPr>
                  <w:tcW w:w="879" w:type="dxa"/>
                  <w:vMerge w:val="continue"/>
                  <w:noWrap w:val="0"/>
                  <w:vAlign w:val="center"/>
                </w:tcPr>
                <w:p w14:paraId="010471B0">
                  <w:pPr>
                    <w:ind w:firstLine="480"/>
                    <w:jc w:val="left"/>
                    <w:rPr>
                      <w:rFonts w:hint="eastAsia" w:ascii="宋体" w:hAnsi="宋体" w:eastAsia="宋体" w:cs="宋体"/>
                      <w:color w:val="000000"/>
                      <w:spacing w:val="10"/>
                      <w:sz w:val="21"/>
                      <w:szCs w:val="22"/>
                      <w:u w:val="none"/>
                      <w:lang w:val="en-US" w:eastAsia="zh-CN" w:bidi="ar"/>
                    </w:rPr>
                  </w:pPr>
                </w:p>
              </w:tc>
              <w:tc>
                <w:tcPr>
                  <w:tcW w:w="1528" w:type="dxa"/>
                  <w:noWrap w:val="0"/>
                  <w:vAlign w:val="center"/>
                </w:tcPr>
                <w:p w14:paraId="39463E87">
                  <w:pPr>
                    <w:keepNext w:val="0"/>
                    <w:keepLines w:val="0"/>
                    <w:widowControl/>
                    <w:suppressLineNumbers w:val="0"/>
                    <w:ind w:firstLine="0"/>
                    <w:jc w:val="center"/>
                    <w:textAlignment w:val="auto"/>
                    <w:rPr>
                      <w:rFonts w:hint="eastAsia" w:ascii="宋体" w:hAnsi="宋体" w:eastAsia="宋体" w:cs="宋体"/>
                      <w:color w:val="000000"/>
                      <w:spacing w:val="10"/>
                      <w:sz w:val="21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  <w:t>低权重病组分析</w:t>
                  </w:r>
                </w:p>
              </w:tc>
              <w:tc>
                <w:tcPr>
                  <w:tcW w:w="5671" w:type="dxa"/>
                  <w:noWrap w:val="0"/>
                  <w:vAlign w:val="center"/>
                </w:tcPr>
                <w:p w14:paraId="4E4DD2F8">
                  <w:pPr>
                    <w:keepNext w:val="0"/>
                    <w:keepLines w:val="0"/>
                    <w:widowControl/>
                    <w:suppressLineNumbers w:val="0"/>
                    <w:ind w:firstLine="48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000000"/>
                      <w:spacing w:val="10"/>
                      <w:sz w:val="21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  <w:t>筛选展示权重低于0.5的低权重病组，结合病例难度与费用分析，建议适宜转为门诊治疗的病组，助力医院优化医疗成本、提高经济效益。</w:t>
                  </w:r>
                </w:p>
              </w:tc>
            </w:tr>
            <w:tr w14:paraId="7056AD3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</w:trPr>
              <w:tc>
                <w:tcPr>
                  <w:tcW w:w="879" w:type="dxa"/>
                  <w:vMerge w:val="restart"/>
                  <w:noWrap w:val="0"/>
                  <w:vAlign w:val="center"/>
                </w:tcPr>
                <w:p w14:paraId="15E11A0B">
                  <w:pPr>
                    <w:keepNext w:val="0"/>
                    <w:keepLines w:val="0"/>
                    <w:widowControl/>
                    <w:suppressLineNumbers w:val="0"/>
                    <w:ind w:firstLine="0"/>
                    <w:jc w:val="center"/>
                    <w:textAlignment w:val="auto"/>
                    <w:rPr>
                      <w:rFonts w:hint="eastAsia" w:ascii="宋体" w:hAnsi="宋体" w:eastAsia="宋体" w:cs="宋体"/>
                      <w:color w:val="000000"/>
                      <w:spacing w:val="10"/>
                      <w:sz w:val="21"/>
                      <w:szCs w:val="22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  <w:t>深化应用</w:t>
                  </w:r>
                </w:p>
              </w:tc>
              <w:tc>
                <w:tcPr>
                  <w:tcW w:w="1528" w:type="dxa"/>
                  <w:noWrap w:val="0"/>
                  <w:vAlign w:val="center"/>
                </w:tcPr>
                <w:p w14:paraId="30E8E248">
                  <w:pPr>
                    <w:keepNext w:val="0"/>
                    <w:keepLines w:val="0"/>
                    <w:widowControl/>
                    <w:suppressLineNumbers w:val="0"/>
                    <w:ind w:firstLine="0"/>
                    <w:jc w:val="center"/>
                    <w:textAlignment w:val="auto"/>
                    <w:rPr>
                      <w:rFonts w:hint="eastAsia" w:ascii="宋体" w:hAnsi="宋体" w:eastAsia="宋体" w:cs="宋体"/>
                      <w:color w:val="000000"/>
                      <w:spacing w:val="10"/>
                      <w:sz w:val="21"/>
                      <w:szCs w:val="22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  <w:t>疾病手术谱</w:t>
                  </w:r>
                </w:p>
              </w:tc>
              <w:tc>
                <w:tcPr>
                  <w:tcW w:w="5671" w:type="dxa"/>
                  <w:noWrap w:val="0"/>
                  <w:vAlign w:val="center"/>
                </w:tcPr>
                <w:p w14:paraId="7C5A8561">
                  <w:pPr>
                    <w:keepNext w:val="0"/>
                    <w:keepLines w:val="0"/>
                    <w:widowControl/>
                    <w:suppressLineNumbers w:val="0"/>
                    <w:ind w:firstLine="48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000000"/>
                      <w:spacing w:val="10"/>
                      <w:sz w:val="21"/>
                      <w:szCs w:val="22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  <w:t>以病组维度进行统计疾病手术细目、亚目数据，通过分析各临床科室的病种分布和手术难度，明确优势病种和手术类型，助力优化病种结构，促进资源合理配置，推动专科建设与学科发展。</w:t>
                  </w:r>
                </w:p>
              </w:tc>
            </w:tr>
            <w:tr w14:paraId="20351D1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</w:trPr>
              <w:tc>
                <w:tcPr>
                  <w:tcW w:w="879" w:type="dxa"/>
                  <w:vMerge w:val="continue"/>
                  <w:noWrap w:val="0"/>
                  <w:vAlign w:val="center"/>
                </w:tcPr>
                <w:p w14:paraId="4F978A6B">
                  <w:pPr>
                    <w:ind w:firstLine="480"/>
                    <w:jc w:val="left"/>
                    <w:rPr>
                      <w:rFonts w:hint="eastAsia" w:ascii="宋体" w:hAnsi="宋体" w:eastAsia="宋体" w:cs="宋体"/>
                      <w:color w:val="000000"/>
                      <w:spacing w:val="10"/>
                      <w:sz w:val="21"/>
                      <w:szCs w:val="22"/>
                      <w:lang w:val="en-US" w:eastAsia="zh-CN"/>
                    </w:rPr>
                  </w:pPr>
                </w:p>
              </w:tc>
              <w:tc>
                <w:tcPr>
                  <w:tcW w:w="1528" w:type="dxa"/>
                  <w:noWrap w:val="0"/>
                  <w:vAlign w:val="center"/>
                </w:tcPr>
                <w:p w14:paraId="786319DE">
                  <w:pPr>
                    <w:keepNext w:val="0"/>
                    <w:keepLines w:val="0"/>
                    <w:widowControl/>
                    <w:suppressLineNumbers w:val="0"/>
                    <w:ind w:firstLine="0"/>
                    <w:jc w:val="center"/>
                    <w:textAlignment w:val="auto"/>
                    <w:rPr>
                      <w:rFonts w:hint="eastAsia" w:ascii="宋体" w:hAnsi="宋体" w:eastAsia="宋体" w:cs="宋体"/>
                      <w:color w:val="000000"/>
                      <w:spacing w:val="10"/>
                      <w:sz w:val="21"/>
                      <w:szCs w:val="22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  <w:t>优势病种建设</w:t>
                  </w:r>
                </w:p>
              </w:tc>
              <w:tc>
                <w:tcPr>
                  <w:tcW w:w="5671" w:type="dxa"/>
                  <w:noWrap w:val="0"/>
                  <w:vAlign w:val="center"/>
                </w:tcPr>
                <w:p w14:paraId="75B4F7D5">
                  <w:pPr>
                    <w:keepNext w:val="0"/>
                    <w:keepLines w:val="0"/>
                    <w:widowControl/>
                    <w:suppressLineNumbers w:val="0"/>
                    <w:ind w:firstLine="48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000000"/>
                      <w:spacing w:val="10"/>
                      <w:sz w:val="21"/>
                      <w:szCs w:val="22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  <w:t>统计各科室常见的前15病种，助力精准定位科室优势病种，引导资源集中投入，强化专科建设。规范同一病种的费用结构、效率等，将低 CMI 病例适当转入门诊收治，提高门诊收入占比。</w:t>
                  </w:r>
                </w:p>
              </w:tc>
            </w:tr>
            <w:tr w14:paraId="124B12F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</w:trPr>
              <w:tc>
                <w:tcPr>
                  <w:tcW w:w="879" w:type="dxa"/>
                  <w:vMerge w:val="continue"/>
                  <w:noWrap w:val="0"/>
                  <w:vAlign w:val="center"/>
                </w:tcPr>
                <w:p w14:paraId="59669385">
                  <w:pPr>
                    <w:ind w:firstLine="480"/>
                    <w:jc w:val="left"/>
                    <w:rPr>
                      <w:rFonts w:hint="eastAsia" w:ascii="宋体" w:hAnsi="宋体" w:eastAsia="宋体" w:cs="宋体"/>
                      <w:color w:val="000000"/>
                      <w:spacing w:val="10"/>
                      <w:sz w:val="21"/>
                      <w:szCs w:val="22"/>
                      <w:lang w:val="en-US" w:eastAsia="zh-CN"/>
                    </w:rPr>
                  </w:pPr>
                </w:p>
              </w:tc>
              <w:tc>
                <w:tcPr>
                  <w:tcW w:w="1528" w:type="dxa"/>
                  <w:noWrap w:val="0"/>
                  <w:vAlign w:val="center"/>
                </w:tcPr>
                <w:p w14:paraId="7E08ECE2">
                  <w:pPr>
                    <w:keepNext w:val="0"/>
                    <w:keepLines w:val="0"/>
                    <w:widowControl/>
                    <w:suppressLineNumbers w:val="0"/>
                    <w:ind w:firstLine="0"/>
                    <w:jc w:val="center"/>
                    <w:textAlignment w:val="auto"/>
                    <w:rPr>
                      <w:rFonts w:hint="eastAsia" w:ascii="宋体" w:hAnsi="宋体" w:eastAsia="宋体" w:cs="宋体"/>
                      <w:color w:val="000000"/>
                      <w:spacing w:val="10"/>
                      <w:sz w:val="21"/>
                      <w:szCs w:val="22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  <w:t>ADRG分析</w:t>
                  </w:r>
                </w:p>
              </w:tc>
              <w:tc>
                <w:tcPr>
                  <w:tcW w:w="5671" w:type="dxa"/>
                  <w:noWrap w:val="0"/>
                  <w:vAlign w:val="center"/>
                </w:tcPr>
                <w:p w14:paraId="0BF976BC">
                  <w:pPr>
                    <w:keepNext w:val="0"/>
                    <w:keepLines w:val="0"/>
                    <w:widowControl/>
                    <w:suppressLineNumbers w:val="0"/>
                    <w:ind w:firstLine="48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000000"/>
                      <w:spacing w:val="10"/>
                      <w:sz w:val="21"/>
                      <w:szCs w:val="22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  <w:t>统计并展示不同DRG组的MCC及CC的诊断情况。清晰地了解各DRG组中常见的MCC和CC诊断类型，从而更精准地把握病例分组规律，优化病例管理策略，提高医疗资源的合理配置与利用效率。</w:t>
                  </w:r>
                </w:p>
              </w:tc>
            </w:tr>
            <w:tr w14:paraId="61073E0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</w:trPr>
              <w:tc>
                <w:tcPr>
                  <w:tcW w:w="879" w:type="dxa"/>
                  <w:vMerge w:val="continue"/>
                  <w:noWrap w:val="0"/>
                  <w:vAlign w:val="center"/>
                </w:tcPr>
                <w:p w14:paraId="23C19EF7">
                  <w:pPr>
                    <w:ind w:firstLine="480"/>
                    <w:jc w:val="left"/>
                    <w:rPr>
                      <w:rFonts w:hint="eastAsia" w:ascii="宋体" w:hAnsi="宋体" w:eastAsia="宋体" w:cs="宋体"/>
                      <w:color w:val="000000"/>
                      <w:spacing w:val="10"/>
                      <w:sz w:val="21"/>
                      <w:szCs w:val="22"/>
                      <w:lang w:val="en-US" w:eastAsia="zh-CN"/>
                    </w:rPr>
                  </w:pPr>
                </w:p>
              </w:tc>
              <w:tc>
                <w:tcPr>
                  <w:tcW w:w="1528" w:type="dxa"/>
                  <w:noWrap w:val="0"/>
                  <w:vAlign w:val="center"/>
                </w:tcPr>
                <w:p w14:paraId="0775907E">
                  <w:pPr>
                    <w:keepNext w:val="0"/>
                    <w:keepLines w:val="0"/>
                    <w:widowControl/>
                    <w:suppressLineNumbers w:val="0"/>
                    <w:ind w:firstLine="0"/>
                    <w:jc w:val="center"/>
                    <w:textAlignment w:val="auto"/>
                    <w:rPr>
                      <w:rFonts w:hint="eastAsia" w:ascii="宋体" w:hAnsi="宋体" w:eastAsia="宋体" w:cs="宋体"/>
                      <w:color w:val="000000"/>
                      <w:spacing w:val="10"/>
                      <w:sz w:val="21"/>
                      <w:szCs w:val="22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  <w:t>DRG动态分析</w:t>
                  </w:r>
                </w:p>
              </w:tc>
              <w:tc>
                <w:tcPr>
                  <w:tcW w:w="5671" w:type="dxa"/>
                  <w:noWrap w:val="0"/>
                  <w:vAlign w:val="center"/>
                </w:tcPr>
                <w:p w14:paraId="1A46EAB5">
                  <w:pPr>
                    <w:keepNext w:val="0"/>
                    <w:keepLines w:val="0"/>
                    <w:widowControl/>
                    <w:suppressLineNumbers w:val="0"/>
                    <w:ind w:firstLine="480"/>
                    <w:jc w:val="left"/>
                    <w:textAlignment w:val="auto"/>
                    <w:rPr>
                      <w:rFonts w:hint="eastAsia" w:ascii="宋体" w:hAnsi="宋体" w:eastAsia="宋体" w:cs="宋体"/>
                      <w:color w:val="000000"/>
                      <w:spacing w:val="10"/>
                      <w:sz w:val="21"/>
                      <w:szCs w:val="22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  <w:t>统计各DRG组近3年内各指标变化情况，助力医院精准识别病组的新增与消减，以及平均住院日、例均费用等关键指标的升降趋势。通过扶持新增DRG组，关注消减病组，优化资源配置，提升治疗效率，实现资源合理利用。</w:t>
                  </w:r>
                </w:p>
              </w:tc>
            </w:tr>
            <w:tr w14:paraId="50D442C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</w:trPr>
              <w:tc>
                <w:tcPr>
                  <w:tcW w:w="879" w:type="dxa"/>
                  <w:vMerge w:val="continue"/>
                  <w:noWrap w:val="0"/>
                  <w:vAlign w:val="center"/>
                </w:tcPr>
                <w:p w14:paraId="154546BB">
                  <w:pPr>
                    <w:ind w:firstLine="480"/>
                    <w:jc w:val="left"/>
                    <w:rPr>
                      <w:rFonts w:hint="eastAsia" w:ascii="宋体" w:hAnsi="宋体" w:eastAsia="宋体" w:cs="宋体"/>
                      <w:color w:val="000000"/>
                      <w:spacing w:val="10"/>
                      <w:sz w:val="21"/>
                      <w:szCs w:val="22"/>
                      <w:lang w:val="en-US" w:eastAsia="zh-CN"/>
                    </w:rPr>
                  </w:pPr>
                </w:p>
              </w:tc>
              <w:tc>
                <w:tcPr>
                  <w:tcW w:w="1528" w:type="dxa"/>
                  <w:noWrap w:val="0"/>
                  <w:vAlign w:val="center"/>
                </w:tcPr>
                <w:p w14:paraId="512F8418">
                  <w:pPr>
                    <w:keepNext w:val="0"/>
                    <w:keepLines w:val="0"/>
                    <w:widowControl/>
                    <w:suppressLineNumbers w:val="0"/>
                    <w:ind w:firstLine="0"/>
                    <w:jc w:val="center"/>
                    <w:textAlignment w:val="auto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  <w:t>CMI分析</w:t>
                  </w:r>
                </w:p>
              </w:tc>
              <w:tc>
                <w:tcPr>
                  <w:tcW w:w="5671" w:type="dxa"/>
                  <w:noWrap w:val="0"/>
                  <w:vAlign w:val="center"/>
                </w:tcPr>
                <w:p w14:paraId="12E1263C">
                  <w:pPr>
                    <w:keepNext w:val="0"/>
                    <w:keepLines w:val="0"/>
                    <w:widowControl/>
                    <w:suppressLineNumbers w:val="0"/>
                    <w:ind w:firstLine="480"/>
                    <w:jc w:val="left"/>
                    <w:textAlignment w:val="auto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  <w:t>提供医院病例疑似入错组的识别与调整，分析病例权重低于RW值、有手术或介入治疗但RW值低、多诊断且RW值低等特定情况，精准定位疑似入错组的病例，进行重新入组测算，帮助医院修正分组偏差，确保病例分组的准确性和合理性。</w:t>
                  </w:r>
                </w:p>
              </w:tc>
            </w:tr>
            <w:tr w14:paraId="4632B75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</w:trPr>
              <w:tc>
                <w:tcPr>
                  <w:tcW w:w="879" w:type="dxa"/>
                  <w:vMerge w:val="continue"/>
                  <w:noWrap w:val="0"/>
                  <w:vAlign w:val="center"/>
                </w:tcPr>
                <w:p w14:paraId="19729A93">
                  <w:pPr>
                    <w:ind w:firstLine="480"/>
                    <w:jc w:val="left"/>
                    <w:rPr>
                      <w:rFonts w:hint="eastAsia" w:ascii="宋体" w:hAnsi="宋体" w:eastAsia="宋体" w:cs="宋体"/>
                      <w:color w:val="000000"/>
                      <w:spacing w:val="10"/>
                      <w:sz w:val="21"/>
                      <w:szCs w:val="22"/>
                      <w:lang w:val="en-US" w:eastAsia="zh-CN"/>
                    </w:rPr>
                  </w:pPr>
                </w:p>
              </w:tc>
              <w:tc>
                <w:tcPr>
                  <w:tcW w:w="1528" w:type="dxa"/>
                  <w:noWrap w:val="0"/>
                  <w:vAlign w:val="center"/>
                </w:tcPr>
                <w:p w14:paraId="0EEE7B4D">
                  <w:pPr>
                    <w:keepNext w:val="0"/>
                    <w:keepLines w:val="0"/>
                    <w:widowControl/>
                    <w:suppressLineNumbers w:val="0"/>
                    <w:ind w:firstLine="0"/>
                    <w:jc w:val="center"/>
                    <w:textAlignment w:val="auto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  <w:t>DRG/DIP数据融合</w:t>
                  </w:r>
                </w:p>
              </w:tc>
              <w:tc>
                <w:tcPr>
                  <w:tcW w:w="5671" w:type="dxa"/>
                  <w:noWrap w:val="0"/>
                  <w:vAlign w:val="center"/>
                </w:tcPr>
                <w:p w14:paraId="4E456B0D">
                  <w:pPr>
                    <w:keepNext w:val="0"/>
                    <w:keepLines w:val="0"/>
                    <w:widowControl/>
                    <w:suppressLineNumbers w:val="0"/>
                    <w:ind w:firstLine="480"/>
                    <w:jc w:val="left"/>
                    <w:textAlignment w:val="auto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  <w:t>通过多种方式采集DIP数据与系统DRG数据匹配，提供科室、医师、病组等维度挖掘优势、潜力、劣势病组，探索两者均衡发展。</w:t>
                  </w:r>
                </w:p>
              </w:tc>
            </w:tr>
            <w:tr w14:paraId="2AD152B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</w:trPr>
              <w:tc>
                <w:tcPr>
                  <w:tcW w:w="879" w:type="dxa"/>
                  <w:vMerge w:val="restart"/>
                  <w:noWrap w:val="0"/>
                  <w:vAlign w:val="center"/>
                </w:tcPr>
                <w:p w14:paraId="1C3AB2C1">
                  <w:pPr>
                    <w:keepNext w:val="0"/>
                    <w:keepLines w:val="0"/>
                    <w:widowControl/>
                    <w:suppressLineNumbers w:val="0"/>
                    <w:ind w:firstLine="0"/>
                    <w:jc w:val="center"/>
                    <w:textAlignment w:val="auto"/>
                    <w:rPr>
                      <w:rFonts w:hint="default" w:ascii="宋体" w:hAnsi="宋体" w:eastAsia="宋体" w:cs="宋体"/>
                      <w:color w:val="000000"/>
                      <w:spacing w:val="10"/>
                      <w:sz w:val="21"/>
                      <w:szCs w:val="22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  <w:t>考核评价</w:t>
                  </w:r>
                </w:p>
              </w:tc>
              <w:tc>
                <w:tcPr>
                  <w:tcW w:w="1528" w:type="dxa"/>
                  <w:noWrap w:val="0"/>
                  <w:vAlign w:val="center"/>
                </w:tcPr>
                <w:p w14:paraId="717F6670">
                  <w:pPr>
                    <w:keepNext w:val="0"/>
                    <w:keepLines w:val="0"/>
                    <w:widowControl/>
                    <w:suppressLineNumbers w:val="0"/>
                    <w:ind w:firstLine="0"/>
                    <w:jc w:val="center"/>
                    <w:textAlignment w:val="auto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  <w:t>手术分析</w:t>
                  </w:r>
                </w:p>
              </w:tc>
              <w:tc>
                <w:tcPr>
                  <w:tcW w:w="5671" w:type="dxa"/>
                  <w:noWrap w:val="0"/>
                  <w:vAlign w:val="center"/>
                </w:tcPr>
                <w:p w14:paraId="29F86E1A">
                  <w:pPr>
                    <w:keepNext w:val="0"/>
                    <w:keepLines w:val="0"/>
                    <w:widowControl/>
                    <w:suppressLineNumbers w:val="0"/>
                    <w:ind w:firstLine="480"/>
                    <w:jc w:val="left"/>
                    <w:textAlignment w:val="auto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  <w:t>从手术级别、次数、人数等不同维度分析手术开展情况，全面评估医院手术能力，为医院管理层提供详实的手术能力评估依据，助力优化手术资源配置，制定科学合理的手术管理策略。</w:t>
                  </w:r>
                </w:p>
              </w:tc>
            </w:tr>
            <w:tr w14:paraId="441B0A8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</w:trPr>
              <w:tc>
                <w:tcPr>
                  <w:tcW w:w="879" w:type="dxa"/>
                  <w:vMerge w:val="continue"/>
                  <w:noWrap w:val="0"/>
                  <w:vAlign w:val="center"/>
                </w:tcPr>
                <w:p w14:paraId="16D31642">
                  <w:pPr>
                    <w:ind w:firstLine="480"/>
                    <w:jc w:val="left"/>
                    <w:rPr>
                      <w:rFonts w:hint="eastAsia" w:ascii="宋体" w:hAnsi="宋体" w:eastAsia="宋体" w:cs="宋体"/>
                      <w:color w:val="000000"/>
                      <w:spacing w:val="10"/>
                      <w:sz w:val="21"/>
                      <w:szCs w:val="22"/>
                      <w:lang w:val="en-US" w:eastAsia="zh-CN"/>
                    </w:rPr>
                  </w:pPr>
                </w:p>
              </w:tc>
              <w:tc>
                <w:tcPr>
                  <w:tcW w:w="1528" w:type="dxa"/>
                  <w:noWrap w:val="0"/>
                  <w:vAlign w:val="center"/>
                </w:tcPr>
                <w:p w14:paraId="7D9631DC">
                  <w:pPr>
                    <w:keepNext w:val="0"/>
                    <w:keepLines w:val="0"/>
                    <w:widowControl/>
                    <w:suppressLineNumbers w:val="0"/>
                    <w:ind w:firstLine="0"/>
                    <w:jc w:val="center"/>
                    <w:textAlignment w:val="auto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  <w:t>单病种统计</w:t>
                  </w:r>
                </w:p>
              </w:tc>
              <w:tc>
                <w:tcPr>
                  <w:tcW w:w="5671" w:type="dxa"/>
                  <w:noWrap w:val="0"/>
                  <w:vAlign w:val="center"/>
                </w:tcPr>
                <w:p w14:paraId="0AFE6B96">
                  <w:pPr>
                    <w:keepNext w:val="0"/>
                    <w:keepLines w:val="0"/>
                    <w:widowControl/>
                    <w:suppressLineNumbers w:val="0"/>
                    <w:ind w:firstLine="480"/>
                    <w:jc w:val="left"/>
                    <w:textAlignment w:val="auto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  <w:t>支持对单病种的各类质控指标进行监测，通过院内科室间横向比较和年度纵向比较，全面评估医疗质量与效率，助力医院精准定位质量控制点，持续优化医疗服务质量。</w:t>
                  </w:r>
                </w:p>
              </w:tc>
            </w:tr>
            <w:tr w14:paraId="366CC7D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</w:trPr>
              <w:tc>
                <w:tcPr>
                  <w:tcW w:w="879" w:type="dxa"/>
                  <w:vMerge w:val="continue"/>
                  <w:noWrap w:val="0"/>
                  <w:vAlign w:val="center"/>
                </w:tcPr>
                <w:p w14:paraId="1144D9EC">
                  <w:pPr>
                    <w:ind w:firstLine="480"/>
                    <w:jc w:val="left"/>
                    <w:rPr>
                      <w:rFonts w:hint="eastAsia" w:ascii="宋体" w:hAnsi="宋体" w:eastAsia="宋体" w:cs="宋体"/>
                      <w:color w:val="000000"/>
                      <w:spacing w:val="10"/>
                      <w:sz w:val="21"/>
                      <w:szCs w:val="22"/>
                      <w:lang w:val="en-US" w:eastAsia="zh-CN"/>
                    </w:rPr>
                  </w:pPr>
                </w:p>
              </w:tc>
              <w:tc>
                <w:tcPr>
                  <w:tcW w:w="1528" w:type="dxa"/>
                  <w:noWrap w:val="0"/>
                  <w:vAlign w:val="center"/>
                </w:tcPr>
                <w:p w14:paraId="6025A815">
                  <w:pPr>
                    <w:keepNext w:val="0"/>
                    <w:keepLines w:val="0"/>
                    <w:widowControl/>
                    <w:suppressLineNumbers w:val="0"/>
                    <w:ind w:firstLine="0"/>
                    <w:jc w:val="center"/>
                    <w:textAlignment w:val="auto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  <w:t>限制类技术指标统计</w:t>
                  </w:r>
                </w:p>
              </w:tc>
              <w:tc>
                <w:tcPr>
                  <w:tcW w:w="5671" w:type="dxa"/>
                  <w:noWrap w:val="0"/>
                  <w:vAlign w:val="center"/>
                </w:tcPr>
                <w:p w14:paraId="23BB0D58">
                  <w:pPr>
                    <w:keepNext w:val="0"/>
                    <w:keepLines w:val="0"/>
                    <w:widowControl/>
                    <w:suppressLineNumbers w:val="0"/>
                    <w:ind w:firstLine="480"/>
                    <w:jc w:val="left"/>
                    <w:textAlignment w:val="auto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  <w:t>对国家及省级限制类技术指标统计，了解各限制类技术的分布情况，帮助医院引导医疗资源的流向，有针对性地进行扶持或者规划资源的投入。</w:t>
                  </w:r>
                </w:p>
              </w:tc>
            </w:tr>
            <w:tr w14:paraId="6CE74B5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</w:trPr>
              <w:tc>
                <w:tcPr>
                  <w:tcW w:w="879" w:type="dxa"/>
                  <w:vMerge w:val="continue"/>
                  <w:noWrap w:val="0"/>
                  <w:vAlign w:val="center"/>
                </w:tcPr>
                <w:p w14:paraId="6260D245">
                  <w:pPr>
                    <w:ind w:firstLine="480"/>
                    <w:jc w:val="left"/>
                    <w:rPr>
                      <w:rFonts w:hint="eastAsia" w:ascii="宋体" w:hAnsi="宋体" w:eastAsia="宋体" w:cs="宋体"/>
                      <w:color w:val="000000"/>
                      <w:spacing w:val="10"/>
                      <w:sz w:val="21"/>
                      <w:szCs w:val="22"/>
                      <w:lang w:val="en-US" w:eastAsia="zh-CN"/>
                    </w:rPr>
                  </w:pPr>
                </w:p>
              </w:tc>
              <w:tc>
                <w:tcPr>
                  <w:tcW w:w="1528" w:type="dxa"/>
                  <w:noWrap w:val="0"/>
                  <w:vAlign w:val="center"/>
                </w:tcPr>
                <w:p w14:paraId="1AF51891">
                  <w:pPr>
                    <w:keepNext w:val="0"/>
                    <w:keepLines w:val="0"/>
                    <w:widowControl/>
                    <w:suppressLineNumbers w:val="0"/>
                    <w:ind w:firstLine="0"/>
                    <w:jc w:val="center"/>
                    <w:textAlignment w:val="auto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  <w:t>收治病种/术种数量统计</w:t>
                  </w:r>
                </w:p>
              </w:tc>
              <w:tc>
                <w:tcPr>
                  <w:tcW w:w="5671" w:type="dxa"/>
                  <w:noWrap w:val="0"/>
                  <w:vAlign w:val="center"/>
                </w:tcPr>
                <w:p w14:paraId="407BA6A0">
                  <w:pPr>
                    <w:keepNext w:val="0"/>
                    <w:keepLines w:val="0"/>
                    <w:widowControl/>
                    <w:suppressLineNumbers w:val="0"/>
                    <w:ind w:firstLine="480"/>
                    <w:jc w:val="left"/>
                    <w:textAlignment w:val="auto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  <w:t>根据ICD编码，利用病案首页中统计主要诊断手术种类，反映医疗机构中医疗服务及反映医疗机构中医疗服务的范围。</w:t>
                  </w:r>
                </w:p>
              </w:tc>
            </w:tr>
            <w:tr w14:paraId="3008211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</w:trPr>
              <w:tc>
                <w:tcPr>
                  <w:tcW w:w="879" w:type="dxa"/>
                  <w:vMerge w:val="continue"/>
                  <w:noWrap w:val="0"/>
                  <w:vAlign w:val="center"/>
                </w:tcPr>
                <w:p w14:paraId="7404246E">
                  <w:pPr>
                    <w:ind w:firstLine="480"/>
                    <w:jc w:val="left"/>
                    <w:rPr>
                      <w:rFonts w:hint="eastAsia" w:ascii="宋体" w:hAnsi="宋体" w:eastAsia="宋体" w:cs="宋体"/>
                      <w:color w:val="000000"/>
                      <w:spacing w:val="10"/>
                      <w:sz w:val="21"/>
                      <w:szCs w:val="22"/>
                      <w:lang w:val="en-US" w:eastAsia="zh-CN"/>
                    </w:rPr>
                  </w:pPr>
                </w:p>
              </w:tc>
              <w:tc>
                <w:tcPr>
                  <w:tcW w:w="1528" w:type="dxa"/>
                  <w:noWrap w:val="0"/>
                  <w:vAlign w:val="center"/>
                </w:tcPr>
                <w:p w14:paraId="5DF04B23">
                  <w:pPr>
                    <w:keepNext w:val="0"/>
                    <w:keepLines w:val="0"/>
                    <w:widowControl/>
                    <w:suppressLineNumbers w:val="0"/>
                    <w:ind w:firstLine="0"/>
                    <w:jc w:val="center"/>
                    <w:textAlignment w:val="auto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  <w:t>ICD低风险病种统计</w:t>
                  </w:r>
                </w:p>
              </w:tc>
              <w:tc>
                <w:tcPr>
                  <w:tcW w:w="5671" w:type="dxa"/>
                  <w:noWrap w:val="0"/>
                  <w:vAlign w:val="center"/>
                </w:tcPr>
                <w:p w14:paraId="3B2C5525">
                  <w:pPr>
                    <w:keepNext w:val="0"/>
                    <w:keepLines w:val="0"/>
                    <w:widowControl/>
                    <w:suppressLineNumbers w:val="0"/>
                    <w:ind w:firstLine="480"/>
                    <w:jc w:val="left"/>
                    <w:textAlignment w:val="auto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  <w:t>分析本院低风险病种的各项指标，包括平均住院日、例均费用和病死率等，院内科室作为筛选条件，查询对应明细，支持数据下钻，可点击各项指标数据，查看具体明细信息。</w:t>
                  </w:r>
                </w:p>
              </w:tc>
            </w:tr>
            <w:tr w14:paraId="45B64DF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</w:trPr>
              <w:tc>
                <w:tcPr>
                  <w:tcW w:w="879" w:type="dxa"/>
                  <w:vMerge w:val="continue"/>
                  <w:noWrap w:val="0"/>
                  <w:vAlign w:val="center"/>
                </w:tcPr>
                <w:p w14:paraId="469C70E8">
                  <w:pPr>
                    <w:ind w:firstLine="480"/>
                    <w:jc w:val="left"/>
                    <w:rPr>
                      <w:rFonts w:hint="eastAsia" w:ascii="宋体" w:hAnsi="宋体" w:eastAsia="宋体" w:cs="宋体"/>
                      <w:color w:val="000000"/>
                      <w:spacing w:val="10"/>
                      <w:sz w:val="21"/>
                      <w:szCs w:val="22"/>
                      <w:lang w:val="en-US" w:eastAsia="zh-CN"/>
                    </w:rPr>
                  </w:pPr>
                </w:p>
              </w:tc>
              <w:tc>
                <w:tcPr>
                  <w:tcW w:w="1528" w:type="dxa"/>
                  <w:noWrap w:val="0"/>
                  <w:vAlign w:val="center"/>
                </w:tcPr>
                <w:p w14:paraId="72F81681">
                  <w:pPr>
                    <w:keepNext w:val="0"/>
                    <w:keepLines w:val="0"/>
                    <w:widowControl/>
                    <w:suppressLineNumbers w:val="0"/>
                    <w:ind w:firstLine="0"/>
                    <w:jc w:val="center"/>
                    <w:textAlignment w:val="auto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  <w:t>18个重点病种统计</w:t>
                  </w:r>
                </w:p>
              </w:tc>
              <w:tc>
                <w:tcPr>
                  <w:tcW w:w="5671" w:type="dxa"/>
                  <w:noWrap w:val="0"/>
                  <w:vAlign w:val="center"/>
                </w:tcPr>
                <w:p w14:paraId="7AE137AB">
                  <w:pPr>
                    <w:keepNext w:val="0"/>
                    <w:keepLines w:val="0"/>
                    <w:widowControl/>
                    <w:suppressLineNumbers w:val="0"/>
                    <w:ind w:firstLine="480"/>
                    <w:jc w:val="left"/>
                    <w:textAlignment w:val="auto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  <w:t>提供18大重点疾病监测指标，洞察其各项指标表现。结合医院整体发展方向及各专科的综合发展状况，提出针对性的优化病种结构的举措，助力医院聚焦核心病种，提升医疗资源利用效率。</w:t>
                  </w:r>
                </w:p>
              </w:tc>
            </w:tr>
            <w:tr w14:paraId="0937999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</w:trPr>
              <w:tc>
                <w:tcPr>
                  <w:tcW w:w="879" w:type="dxa"/>
                  <w:vMerge w:val="continue"/>
                  <w:noWrap w:val="0"/>
                  <w:vAlign w:val="center"/>
                </w:tcPr>
                <w:p w14:paraId="6B408A18">
                  <w:pPr>
                    <w:ind w:firstLine="480"/>
                    <w:jc w:val="left"/>
                    <w:rPr>
                      <w:rFonts w:hint="eastAsia" w:ascii="宋体" w:hAnsi="宋体" w:eastAsia="宋体" w:cs="宋体"/>
                      <w:color w:val="000000"/>
                      <w:spacing w:val="10"/>
                      <w:sz w:val="21"/>
                      <w:szCs w:val="22"/>
                      <w:lang w:val="en-US" w:eastAsia="zh-CN"/>
                    </w:rPr>
                  </w:pPr>
                </w:p>
              </w:tc>
              <w:tc>
                <w:tcPr>
                  <w:tcW w:w="1528" w:type="dxa"/>
                  <w:noWrap w:val="0"/>
                  <w:vAlign w:val="center"/>
                </w:tcPr>
                <w:p w14:paraId="71A51AE4">
                  <w:pPr>
                    <w:keepNext w:val="0"/>
                    <w:keepLines w:val="0"/>
                    <w:widowControl/>
                    <w:suppressLineNumbers w:val="0"/>
                    <w:ind w:firstLine="0"/>
                    <w:jc w:val="center"/>
                    <w:textAlignment w:val="auto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  <w:t>重返患者指标统计</w:t>
                  </w:r>
                </w:p>
              </w:tc>
              <w:tc>
                <w:tcPr>
                  <w:tcW w:w="5671" w:type="dxa"/>
                  <w:noWrap w:val="0"/>
                  <w:vAlign w:val="center"/>
                </w:tcPr>
                <w:p w14:paraId="3A0C7E58">
                  <w:pPr>
                    <w:keepNext w:val="0"/>
                    <w:keepLines w:val="0"/>
                    <w:widowControl/>
                    <w:suppressLineNumbers w:val="0"/>
                    <w:ind w:firstLine="480"/>
                    <w:jc w:val="left"/>
                    <w:textAlignment w:val="auto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  <w:t>从科室、疾病等维度分析疾病的重返情况，包括重点疾病、临床路径病种、单病种、恶性肿瘤等，设置同病种和不同病种、是否有无计划再住院等参数，一键查询，高效准确，提供图表展示、联动效果、下钻等功能。</w:t>
                  </w:r>
                </w:p>
              </w:tc>
            </w:tr>
            <w:tr w14:paraId="39F9EFB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</w:trPr>
              <w:tc>
                <w:tcPr>
                  <w:tcW w:w="879" w:type="dxa"/>
                  <w:vMerge w:val="continue"/>
                  <w:noWrap w:val="0"/>
                  <w:vAlign w:val="center"/>
                </w:tcPr>
                <w:p w14:paraId="1CBD0678">
                  <w:pPr>
                    <w:ind w:firstLine="480"/>
                    <w:jc w:val="left"/>
                    <w:rPr>
                      <w:rFonts w:hint="eastAsia" w:ascii="宋体" w:hAnsi="宋体" w:eastAsia="宋体" w:cs="宋体"/>
                      <w:color w:val="000000"/>
                      <w:spacing w:val="10"/>
                      <w:sz w:val="21"/>
                      <w:szCs w:val="22"/>
                      <w:lang w:val="en-US" w:eastAsia="zh-CN"/>
                    </w:rPr>
                  </w:pPr>
                </w:p>
              </w:tc>
              <w:tc>
                <w:tcPr>
                  <w:tcW w:w="1528" w:type="dxa"/>
                  <w:noWrap w:val="0"/>
                  <w:vAlign w:val="center"/>
                </w:tcPr>
                <w:p w14:paraId="7B787764">
                  <w:pPr>
                    <w:keepNext w:val="0"/>
                    <w:keepLines w:val="0"/>
                    <w:widowControl/>
                    <w:suppressLineNumbers w:val="0"/>
                    <w:ind w:firstLine="0"/>
                    <w:jc w:val="center"/>
                    <w:textAlignment w:val="auto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  <w:t>手术并发症指标统计</w:t>
                  </w:r>
                </w:p>
              </w:tc>
              <w:tc>
                <w:tcPr>
                  <w:tcW w:w="5671" w:type="dxa"/>
                  <w:noWrap w:val="0"/>
                  <w:vAlign w:val="center"/>
                </w:tcPr>
                <w:p w14:paraId="79609D42">
                  <w:pPr>
                    <w:keepNext w:val="0"/>
                    <w:keepLines w:val="0"/>
                    <w:widowControl/>
                    <w:suppressLineNumbers w:val="0"/>
                    <w:ind w:firstLine="480"/>
                    <w:jc w:val="left"/>
                    <w:textAlignment w:val="auto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pacing w:val="10"/>
                      <w:kern w:val="2"/>
                      <w:sz w:val="21"/>
                      <w:szCs w:val="22"/>
                      <w:u w:val="none"/>
                      <w:lang w:val="en-US" w:eastAsia="zh-CN" w:bidi="ar"/>
                    </w:rPr>
                    <w:t>统计监测每类手术并发症的指标，评估其发生情况。各科室依据监测结果及时分析和改进，确保定期督导反馈，从而为医院专项行动提供精准决策支持，及时发现并消除手术质量安全隐患。</w:t>
                  </w:r>
                </w:p>
              </w:tc>
            </w:tr>
          </w:tbl>
          <w:p w14:paraId="2EC00E65">
            <w:pPr>
              <w:pStyle w:val="6"/>
              <w:widowControl/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</w:pPr>
          </w:p>
          <w:p w14:paraId="01E6ADCB">
            <w:pPr>
              <w:pStyle w:val="6"/>
              <w:widowControl/>
              <w:numPr>
                <w:ilvl w:val="0"/>
                <w:numId w:val="1"/>
              </w:numPr>
              <w:jc w:val="left"/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val="en-US" w:eastAsia="zh-CN"/>
              </w:rPr>
              <w:t>DRGs综合评价管理系统升级改造项目运维服务</w:t>
            </w:r>
          </w:p>
          <w:p w14:paraId="0920CF7F">
            <w:pPr>
              <w:numPr>
                <w:ilvl w:val="0"/>
                <w:numId w:val="2"/>
              </w:numPr>
              <w:rPr>
                <w:rFonts w:hint="eastAsia"/>
              </w:rPr>
            </w:pPr>
            <w:bookmarkStart w:id="4" w:name="_Toc7107228"/>
            <w:r>
              <w:rPr>
                <w:rFonts w:hint="eastAsia"/>
              </w:rPr>
              <w:t>维护范围</w:t>
            </w:r>
            <w:bookmarkEnd w:id="4"/>
          </w:p>
          <w:p w14:paraId="27ED53D3">
            <w:pPr>
              <w:adjustRightInd w:val="0"/>
              <w:snapToGrid w:val="0"/>
              <w:ind w:firstLine="480" w:firstLineChars="200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</w:rPr>
              <w:t>针对本院内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>DRGs综合评价管理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</w:rPr>
              <w:t>系统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>升级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4"/>
                <w:lang w:val="en-US" w:eastAsia="zh-CN"/>
              </w:rPr>
              <w:t>改造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</w:rPr>
              <w:t>。</w:t>
            </w:r>
          </w:p>
          <w:p w14:paraId="3840D2F2">
            <w:pPr>
              <w:numPr>
                <w:ilvl w:val="0"/>
                <w:numId w:val="2"/>
              </w:numPr>
              <w:rPr>
                <w:rFonts w:hint="eastAsia"/>
              </w:rPr>
            </w:pPr>
            <w:bookmarkStart w:id="5" w:name="_Toc7107229"/>
            <w:r>
              <w:rPr>
                <w:rFonts w:hint="eastAsia"/>
              </w:rPr>
              <w:t>维护目的</w:t>
            </w:r>
            <w:bookmarkEnd w:id="5"/>
          </w:p>
          <w:p w14:paraId="4407EBC3">
            <w:pPr>
              <w:adjustRightInd w:val="0"/>
              <w:snapToGrid w:val="0"/>
              <w:ind w:firstLine="480" w:firstLineChars="200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</w:rPr>
              <w:t>通过提供相关的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>维护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</w:rPr>
              <w:t>服务，保障DRGs综合评价管理系统的平稳运行，提高系统的整体服务水平。</w:t>
            </w:r>
          </w:p>
          <w:p w14:paraId="31ABFD58">
            <w:pPr>
              <w:numPr>
                <w:ilvl w:val="0"/>
                <w:numId w:val="2"/>
              </w:numPr>
              <w:rPr>
                <w:rFonts w:hint="eastAsia"/>
              </w:rPr>
            </w:pPr>
            <w:bookmarkStart w:id="6" w:name="_Toc7107230"/>
            <w:r>
              <w:rPr>
                <w:rFonts w:hint="eastAsia"/>
              </w:rPr>
              <w:t>维护内容</w:t>
            </w:r>
            <w:bookmarkEnd w:id="6"/>
          </w:p>
          <w:p w14:paraId="0D437E27">
            <w:pPr>
              <w:pStyle w:val="5"/>
              <w:adjustRightInd w:val="0"/>
              <w:snapToGrid w:val="0"/>
              <w:ind w:left="420" w:firstLine="0" w:firstLineChars="0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</w:rPr>
              <w:t>软件维护分类：</w:t>
            </w:r>
          </w:p>
          <w:p w14:paraId="01793A7D">
            <w:pPr>
              <w:pStyle w:val="5"/>
              <w:numPr>
                <w:ilvl w:val="0"/>
                <w:numId w:val="3"/>
              </w:numPr>
              <w:adjustRightInd w:val="0"/>
              <w:snapToGrid w:val="0"/>
              <w:ind w:left="780" w:hanging="360" w:firstLineChars="0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>功能应用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</w:rPr>
              <w:t>维护</w:t>
            </w:r>
          </w:p>
          <w:p w14:paraId="4EFBB309">
            <w:pPr>
              <w:pStyle w:val="5"/>
              <w:adjustRightInd w:val="0"/>
              <w:snapToGrid w:val="0"/>
              <w:ind w:left="780" w:firstLine="0" w:firstLineChars="0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</w:rPr>
              <w:t>主要包括：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>咨询服务、故障排除、报表维护、日常维护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</w:rPr>
              <w:t>。</w:t>
            </w:r>
          </w:p>
          <w:p w14:paraId="787219E3">
            <w:pPr>
              <w:pStyle w:val="5"/>
              <w:numPr>
                <w:ilvl w:val="0"/>
                <w:numId w:val="4"/>
              </w:numPr>
              <w:adjustRightInd w:val="0"/>
              <w:snapToGrid w:val="0"/>
              <w:ind w:left="780" w:hanging="360" w:firstLineChars="0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</w:rPr>
              <w:t>数据维护</w:t>
            </w:r>
          </w:p>
          <w:p w14:paraId="257FF537">
            <w:pPr>
              <w:pStyle w:val="5"/>
              <w:adjustRightInd w:val="0"/>
              <w:snapToGrid w:val="0"/>
              <w:ind w:left="780" w:firstLine="0" w:firstLineChars="0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</w:rPr>
              <w:t>主要包括：数据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>恢复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</w:rPr>
              <w:t>、数据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>调整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</w:rPr>
              <w:t>、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>特殊服务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</w:rPr>
              <w:t>。</w:t>
            </w:r>
          </w:p>
          <w:p w14:paraId="31733FEC">
            <w:pPr>
              <w:pStyle w:val="5"/>
              <w:numPr>
                <w:ilvl w:val="0"/>
                <w:numId w:val="5"/>
              </w:numPr>
              <w:adjustRightInd w:val="0"/>
              <w:snapToGrid w:val="0"/>
              <w:ind w:left="780" w:hanging="360" w:firstLineChars="0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>其他服务</w:t>
            </w:r>
          </w:p>
          <w:p w14:paraId="27BDC94A">
            <w:pPr>
              <w:pStyle w:val="5"/>
              <w:adjustRightInd w:val="0"/>
              <w:snapToGrid w:val="0"/>
              <w:ind w:left="780" w:firstLine="0" w:firstLineChars="0"/>
              <w:rPr>
                <w:rFonts w:hint="eastAsia" w:ascii="华文仿宋" w:hAnsi="华文仿宋" w:eastAsia="华文仿宋" w:cs="华文仿宋"/>
                <w:sz w:val="24"/>
                <w:szCs w:val="24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</w:rPr>
              <w:t>主要包括：管理培训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</w:rPr>
              <w:t>维护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>培训、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</w:rPr>
              <w:t>巡检服务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</w:rPr>
              <w:t>热线服务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</w:rPr>
              <w:t>问题解答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lang w:eastAsia="zh-CN"/>
              </w:rPr>
              <w:t>。</w:t>
            </w:r>
          </w:p>
          <w:p w14:paraId="767B6AF5">
            <w:pPr>
              <w:numPr>
                <w:ilvl w:val="0"/>
                <w:numId w:val="2"/>
              </w:numPr>
              <w:rPr>
                <w:rFonts w:hint="eastAsia"/>
              </w:rPr>
            </w:pPr>
            <w:bookmarkStart w:id="7" w:name="_Toc7107231"/>
            <w:r>
              <w:rPr>
                <w:rFonts w:hint="eastAsia"/>
              </w:rPr>
              <w:t>维护说明</w:t>
            </w:r>
            <w:bookmarkEnd w:id="7"/>
            <w:r>
              <w:rPr>
                <w:rFonts w:hint="eastAsia"/>
                <w:lang w:val="en-US" w:eastAsia="zh-CN"/>
              </w:rPr>
              <w:t>及承诺</w:t>
            </w:r>
          </w:p>
          <w:p w14:paraId="2ACB0337">
            <w:pPr>
              <w:numPr>
                <w:ilvl w:val="0"/>
                <w:numId w:val="0"/>
              </w:numPr>
              <w:adjustRightInd w:val="0"/>
              <w:snapToGrid w:val="0"/>
              <w:ind w:firstLine="480" w:firstLineChars="200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</w:rPr>
              <w:t>质保期1年，质保期内，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>中标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</w:rPr>
              <w:t>供应商提供7*24小时电话及远程技术支持服务，若远程服务无法解决问题，需要4小时内到达医院现场处理。</w:t>
            </w:r>
          </w:p>
          <w:p w14:paraId="0FB11EA3">
            <w:pPr>
              <w:pStyle w:val="6"/>
              <w:rPr>
                <w:rFonts w:hint="eastAsia" w:ascii="仿宋" w:hAnsi="仿宋" w:eastAsia="仿宋" w:cs="仿宋"/>
                <w:color w:val="000000"/>
                <w:sz w:val="24"/>
              </w:rPr>
            </w:pPr>
          </w:p>
        </w:tc>
      </w:tr>
      <w:tr w14:paraId="2BC3F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65" w:type="dxa"/>
            <w:gridSpan w:val="2"/>
            <w:noWrap w:val="0"/>
            <w:vAlign w:val="center"/>
          </w:tcPr>
          <w:p w14:paraId="2584B904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三、项目工期要求</w:t>
            </w:r>
          </w:p>
        </w:tc>
      </w:tr>
      <w:tr w14:paraId="677FD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5" w:type="dxa"/>
            <w:gridSpan w:val="2"/>
            <w:noWrap w:val="0"/>
            <w:vAlign w:val="center"/>
          </w:tcPr>
          <w:p w14:paraId="4F3E8343">
            <w:pPr>
              <w:autoSpaceDE w:val="0"/>
              <w:autoSpaceDN w:val="0"/>
              <w:adjustRightInd w:val="0"/>
              <w:ind w:firstLine="460"/>
              <w:rPr>
                <w:rFonts w:hint="eastAsia" w:ascii="宋体" w:hAnsi="宋体" w:cs="宋体"/>
                <w:color w:val="000000"/>
                <w:spacing w:val="-34"/>
              </w:rPr>
            </w:pPr>
            <w:r>
              <w:rPr>
                <w:rFonts w:hint="eastAsia" w:ascii="宋体" w:hAnsi="宋体" w:cs="宋体"/>
                <w:color w:val="000000"/>
                <w:spacing w:val="10"/>
              </w:rPr>
              <w:t>1、</w:t>
            </w:r>
            <w:r>
              <w:rPr>
                <w:rFonts w:hint="eastAsia" w:ascii="宋体" w:hAnsi="宋体" w:cs="宋体"/>
                <w:color w:val="000000"/>
                <w:spacing w:val="10"/>
                <w:lang w:val="en-US" w:eastAsia="zh-CN"/>
              </w:rPr>
              <w:t>DRGs综合评价管理系统升级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改造</w:t>
            </w:r>
            <w:r>
              <w:rPr>
                <w:rFonts w:hint="eastAsia" w:ascii="宋体" w:hAnsi="宋体" w:cs="宋体"/>
                <w:color w:val="000000"/>
                <w:spacing w:val="10"/>
              </w:rPr>
              <w:t>服务：中标供应商应在合同生效后（以本合同签订时间为准）</w:t>
            </w:r>
            <w:r>
              <w:rPr>
                <w:rFonts w:hint="eastAsia" w:ascii="宋体" w:hAnsi="宋体" w:cs="宋体"/>
                <w:color w:val="000000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u w:val="single"/>
                <w:lang w:val="en-US" w:eastAsia="zh-CN"/>
              </w:rPr>
              <w:t xml:space="preserve">30个工作日 </w:t>
            </w:r>
            <w:r>
              <w:rPr>
                <w:rFonts w:hint="eastAsia" w:ascii="宋体" w:hAnsi="宋体" w:cs="宋体"/>
                <w:color w:val="000000"/>
                <w:spacing w:val="10"/>
              </w:rPr>
              <w:t>内完成本合同内容</w:t>
            </w:r>
            <w:r>
              <w:rPr>
                <w:rFonts w:hint="eastAsia" w:ascii="宋体" w:hAnsi="宋体" w:cs="宋体"/>
                <w:color w:val="000000"/>
                <w:spacing w:val="-34"/>
              </w:rPr>
              <w:t xml:space="preserve"> ；</w:t>
            </w:r>
          </w:p>
          <w:p w14:paraId="57CCF6C0">
            <w:pPr>
              <w:autoSpaceDE w:val="0"/>
              <w:autoSpaceDN w:val="0"/>
              <w:adjustRightInd w:val="0"/>
              <w:ind w:firstLine="460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pacing w:val="-34"/>
              </w:rPr>
              <w:t>2</w:t>
            </w:r>
            <w:r>
              <w:rPr>
                <w:rFonts w:hint="eastAsia" w:ascii="宋体" w:hAnsi="宋体" w:cs="宋体"/>
                <w:color w:val="000000"/>
                <w:spacing w:val="10"/>
              </w:rPr>
              <w:t>、</w:t>
            </w:r>
            <w:r>
              <w:rPr>
                <w:rFonts w:hint="eastAsia" w:ascii="宋体" w:hAnsi="宋体" w:cs="宋体"/>
                <w:color w:val="000000"/>
                <w:spacing w:val="10"/>
                <w:lang w:val="en-US" w:eastAsia="zh-CN"/>
              </w:rPr>
              <w:t>DRGs综合评价管理系统升级</w:t>
            </w:r>
            <w:r>
              <w:rPr>
                <w:rFonts w:hint="eastAsia" w:ascii="宋体" w:hAnsi="宋体" w:cs="宋体"/>
                <w:color w:val="000000"/>
                <w:spacing w:val="10"/>
              </w:rPr>
              <w:t>运维</w:t>
            </w:r>
            <w:r>
              <w:rPr>
                <w:rFonts w:hint="eastAsia" w:ascii="宋体" w:hAnsi="宋体" w:cs="宋体"/>
                <w:color w:val="000000"/>
                <w:spacing w:val="10"/>
                <w:lang w:val="en-US" w:eastAsia="zh-CN"/>
              </w:rPr>
              <w:t>服务</w:t>
            </w:r>
            <w:r>
              <w:rPr>
                <w:rFonts w:hint="eastAsia" w:ascii="宋体" w:hAnsi="宋体" w:cs="宋体"/>
                <w:color w:val="000000"/>
                <w:spacing w:val="10"/>
              </w:rPr>
              <w:t>：中标供应商应在合同</w:t>
            </w:r>
            <w:r>
              <w:rPr>
                <w:rFonts w:hint="eastAsia" w:ascii="宋体" w:hAnsi="宋体" w:cs="宋体"/>
                <w:color w:val="000000"/>
                <w:spacing w:val="10"/>
                <w:lang w:val="en-US" w:eastAsia="zh-CN"/>
              </w:rPr>
              <w:t>验收</w:t>
            </w:r>
            <w:r>
              <w:rPr>
                <w:rFonts w:hint="eastAsia" w:ascii="宋体" w:hAnsi="宋体" w:cs="宋体"/>
                <w:color w:val="000000"/>
                <w:spacing w:val="10"/>
              </w:rPr>
              <w:t>后（以</w:t>
            </w:r>
            <w:r>
              <w:rPr>
                <w:rFonts w:hint="eastAsia" w:ascii="宋体" w:hAnsi="宋体" w:cs="宋体"/>
                <w:color w:val="000000"/>
                <w:spacing w:val="10"/>
                <w:lang w:val="en-US" w:eastAsia="zh-CN"/>
              </w:rPr>
              <w:t>合同验收</w:t>
            </w:r>
            <w:r>
              <w:rPr>
                <w:rFonts w:hint="eastAsia" w:ascii="宋体" w:hAnsi="宋体" w:cs="宋体"/>
                <w:color w:val="000000"/>
                <w:spacing w:val="10"/>
              </w:rPr>
              <w:t>时间为准）</w:t>
            </w:r>
            <w:r>
              <w:rPr>
                <w:rFonts w:hint="eastAsia" w:ascii="宋体" w:hAnsi="宋体" w:cs="宋体"/>
                <w:color w:val="000000"/>
                <w:spacing w:val="10"/>
                <w:u w:val="single"/>
              </w:rPr>
              <w:t>1年</w:t>
            </w:r>
            <w:r>
              <w:rPr>
                <w:rFonts w:hint="eastAsia" w:ascii="宋体" w:hAnsi="宋体" w:cs="宋体"/>
                <w:color w:val="000000"/>
                <w:spacing w:val="10"/>
              </w:rPr>
              <w:t>的运维期限。</w:t>
            </w:r>
          </w:p>
        </w:tc>
      </w:tr>
      <w:tr w14:paraId="259E8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5" w:type="dxa"/>
            <w:gridSpan w:val="2"/>
            <w:noWrap w:val="0"/>
            <w:vAlign w:val="center"/>
          </w:tcPr>
          <w:p w14:paraId="4CFF4C72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四、项目背景</w:t>
            </w:r>
          </w:p>
        </w:tc>
      </w:tr>
      <w:tr w14:paraId="1D684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865" w:type="dxa"/>
            <w:gridSpan w:val="2"/>
            <w:noWrap w:val="0"/>
            <w:vAlign w:val="center"/>
          </w:tcPr>
          <w:p w14:paraId="05706A5E">
            <w:pPr>
              <w:ind w:firstLine="480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pacing w:val="10"/>
              </w:rPr>
              <w:t>随着国家公立医院绩效考核工作持续深化，以及广东省三级医院评审前置条件的明确要求，依托 DRGs 技术强化医院内部精细化管理、提升核心运营指标已成为我院高质量发展的关键抓手。我院现有 DRG 综合评价管理系统，尚未形成以学科建设、考核评价为核心的全维度应用体系，难以满足全院及临床科室精细化管理、科室医疗技术能力精准研判的需求。为补齐上述短板，契合评审前置条件要求，我院亟需以现有 DRGs 系统为基础，建设专业化的医院绩效评价平台，将基于 DRGs 的医疗服务绩效评价技术全面应用于本院科室、医师、病种及临床重点专科的绩效评价工作中。同时，推动医疗服务绩效评估结果直接服务于院内卫生决策，为医院医疗质量提升、学科布局优化、管理效能增强提供科学的数据支撑。</w:t>
            </w:r>
          </w:p>
        </w:tc>
      </w:tr>
      <w:tr w14:paraId="507EB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5" w:type="dxa"/>
            <w:gridSpan w:val="2"/>
            <w:noWrap w:val="0"/>
            <w:vAlign w:val="center"/>
          </w:tcPr>
          <w:p w14:paraId="3391AE76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五、运维目标需求</w:t>
            </w:r>
          </w:p>
        </w:tc>
      </w:tr>
      <w:tr w14:paraId="2668A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8865" w:type="dxa"/>
            <w:gridSpan w:val="2"/>
            <w:noWrap w:val="0"/>
            <w:vAlign w:val="center"/>
          </w:tcPr>
          <w:p w14:paraId="30409FA7">
            <w:pPr>
              <w:widowControl/>
              <w:numPr>
                <w:ilvl w:val="0"/>
                <w:numId w:val="6"/>
              </w:numPr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针对本次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DRGs综合评价管理系统升级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lang w:val="en-US" w:eastAsia="zh-CN"/>
              </w:rPr>
              <w:t>改造</w:t>
            </w:r>
            <w:r>
              <w:rPr>
                <w:rFonts w:ascii="仿宋" w:hAnsi="仿宋" w:eastAsia="仿宋" w:cs="仿宋"/>
                <w:color w:val="000000"/>
                <w:sz w:val="24"/>
                <w:szCs w:val="24"/>
              </w:rPr>
              <w:t>服务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提供验收后一年的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免费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val="en-US" w:eastAsia="zh-CN"/>
              </w:rPr>
              <w:t>维护保障服务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；</w:t>
            </w:r>
          </w:p>
          <w:p w14:paraId="669D935B">
            <w:pPr>
              <w:widowControl/>
              <w:numPr>
                <w:ilvl w:val="0"/>
                <w:numId w:val="6"/>
              </w:numPr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对于程序发生故障或问题时，乙方故障响应时间为2小时内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响应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。特大故障4小时到现场。服务期为7*24小时。</w:t>
            </w:r>
          </w:p>
        </w:tc>
      </w:tr>
      <w:tr w14:paraId="7CFA8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8865" w:type="dxa"/>
            <w:gridSpan w:val="2"/>
            <w:noWrap w:val="0"/>
            <w:vAlign w:val="center"/>
          </w:tcPr>
          <w:p w14:paraId="7F0B4641">
            <w:pP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六、服务范围</w:t>
            </w:r>
          </w:p>
        </w:tc>
      </w:tr>
      <w:tr w14:paraId="65450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8865" w:type="dxa"/>
            <w:gridSpan w:val="2"/>
            <w:noWrap w:val="0"/>
            <w:vAlign w:val="center"/>
          </w:tcPr>
          <w:p w14:paraId="01FA02AE">
            <w:pPr>
              <w:numPr>
                <w:ilvl w:val="0"/>
                <w:numId w:val="7"/>
              </w:numPr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提供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DRGs综合评价管理系统升级改造部署调试。</w:t>
            </w:r>
          </w:p>
          <w:p w14:paraId="4791677F">
            <w:pPr>
              <w:rPr>
                <w:rFonts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服务提供地点：</w:t>
            </w:r>
            <w:r>
              <w:rPr>
                <w:rFonts w:ascii="仿宋" w:hAnsi="仿宋" w:eastAsia="仿宋" w:cs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广州市红十字会医院</w:t>
            </w:r>
          </w:p>
        </w:tc>
      </w:tr>
      <w:tr w14:paraId="33655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8865" w:type="dxa"/>
            <w:gridSpan w:val="2"/>
            <w:noWrap w:val="0"/>
            <w:vAlign w:val="center"/>
          </w:tcPr>
          <w:p w14:paraId="6BCBE41D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七、服务工作要求</w:t>
            </w:r>
          </w:p>
        </w:tc>
      </w:tr>
      <w:tr w14:paraId="63A75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8865" w:type="dxa"/>
            <w:gridSpan w:val="2"/>
            <w:noWrap w:val="0"/>
            <w:vAlign w:val="center"/>
          </w:tcPr>
          <w:p w14:paraId="026EE408">
            <w:pPr>
              <w:autoSpaceDE w:val="0"/>
              <w:autoSpaceDN w:val="0"/>
              <w:adjustRightInd w:val="0"/>
              <w:spacing w:line="360" w:lineRule="auto"/>
              <w:ind w:firstLine="460" w:firstLineChars="200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pacing w:val="10"/>
                <w:lang w:val="en-US" w:eastAsia="zh-CN"/>
              </w:rPr>
              <w:t>DRGs综合评价管理系统升级改造项目建设</w:t>
            </w:r>
            <w:r>
              <w:rPr>
                <w:rFonts w:hint="eastAsia" w:ascii="宋体" w:hAnsi="宋体" w:cs="宋体"/>
                <w:color w:val="000000"/>
                <w:spacing w:val="10"/>
              </w:rPr>
              <w:t>服务，中标供应商应在合同生效后（以本合同签订时间为准）</w:t>
            </w:r>
            <w:r>
              <w:rPr>
                <w:rFonts w:hint="eastAsia" w:ascii="宋体" w:hAnsi="宋体" w:cs="宋体"/>
                <w:color w:val="000000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u w:val="single"/>
                <w:lang w:val="en-US" w:eastAsia="zh-CN"/>
              </w:rPr>
              <w:t xml:space="preserve">30个工作日 </w:t>
            </w:r>
            <w:r>
              <w:rPr>
                <w:rFonts w:hint="eastAsia" w:ascii="宋体" w:hAnsi="宋体" w:cs="宋体"/>
                <w:color w:val="000000"/>
                <w:spacing w:val="10"/>
              </w:rPr>
              <w:t>内完成本合同内容</w:t>
            </w:r>
            <w:r>
              <w:rPr>
                <w:rFonts w:hint="eastAsia" w:ascii="宋体" w:hAnsi="宋体" w:cs="宋体"/>
                <w:color w:val="000000"/>
                <w:spacing w:val="-34"/>
              </w:rPr>
              <w:t xml:space="preserve"> ；</w:t>
            </w:r>
            <w:r>
              <w:rPr>
                <w:rFonts w:hint="eastAsia" w:ascii="宋体" w:hAnsi="宋体" w:cs="宋体"/>
                <w:color w:val="000000"/>
                <w:spacing w:val="10"/>
              </w:rPr>
              <w:t xml:space="preserve"> 提供为期1年的</w:t>
            </w:r>
            <w:r>
              <w:rPr>
                <w:rFonts w:hint="eastAsia" w:ascii="宋体" w:hAnsi="宋体" w:cs="宋体"/>
                <w:color w:val="000000"/>
                <w:spacing w:val="10"/>
                <w:lang w:val="en-US" w:eastAsia="zh-CN"/>
              </w:rPr>
              <w:t>DRGs综合评价管理升级改造项目</w:t>
            </w:r>
            <w:r>
              <w:rPr>
                <w:rFonts w:hint="eastAsia" w:ascii="宋体" w:hAnsi="宋体" w:cs="宋体"/>
                <w:color w:val="000000"/>
                <w:spacing w:val="10"/>
              </w:rPr>
              <w:t>整体运维服务（以本</w:t>
            </w:r>
            <w:r>
              <w:rPr>
                <w:rFonts w:hint="eastAsia" w:ascii="宋体" w:hAnsi="宋体" w:cs="宋体"/>
                <w:color w:val="000000"/>
                <w:spacing w:val="10"/>
                <w:lang w:val="en-US" w:eastAsia="zh-CN"/>
              </w:rPr>
              <w:t>项目验收</w:t>
            </w:r>
            <w:r>
              <w:rPr>
                <w:rFonts w:hint="eastAsia" w:ascii="宋体" w:hAnsi="宋体" w:cs="宋体"/>
                <w:color w:val="000000"/>
                <w:spacing w:val="10"/>
              </w:rPr>
              <w:t>时间为准）。</w:t>
            </w:r>
          </w:p>
        </w:tc>
      </w:tr>
      <w:tr w14:paraId="1170C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5" w:type="dxa"/>
            <w:gridSpan w:val="2"/>
            <w:noWrap w:val="0"/>
            <w:vAlign w:val="center"/>
          </w:tcPr>
          <w:p w14:paraId="0E39C9CC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八、对服务商的要求</w:t>
            </w:r>
          </w:p>
        </w:tc>
      </w:tr>
      <w:tr w14:paraId="3D698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5" w:type="dxa"/>
            <w:gridSpan w:val="2"/>
            <w:noWrap w:val="0"/>
            <w:vAlign w:val="center"/>
          </w:tcPr>
          <w:p w14:paraId="1188435E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zh-CN"/>
              </w:rPr>
              <w:t>1.供应商具有独立承担民事责任的能力。</w:t>
            </w:r>
          </w:p>
          <w:p w14:paraId="47C195CE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zh-CN"/>
              </w:rPr>
              <w:t>2.截至递交响应文件之日，供应商未被“信用中国”网（http://www.creditchina.gov.cn）列入失信被执行人、重大税收违法案件当事人名单、政府采购严重违法失信行为记录名单。</w:t>
            </w:r>
          </w:p>
          <w:p w14:paraId="312C3F2C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zh-CN"/>
              </w:rPr>
              <w:t>3.供应商法定代表人、控股股东或实际控制人与采购人高管人员及使用需求部门、采购部门关键岗位人员无夫妻、直系血亲、三代以内旁系血亲或者近姻亲关系。</w:t>
            </w:r>
          </w:p>
        </w:tc>
      </w:tr>
      <w:tr w14:paraId="748B4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8865" w:type="dxa"/>
            <w:gridSpan w:val="2"/>
            <w:noWrap w:val="0"/>
            <w:vAlign w:val="center"/>
          </w:tcPr>
          <w:p w14:paraId="35BD0E65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bookmarkStart w:id="8" w:name="_Toc405900443"/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九、服务响应要求</w:t>
            </w:r>
            <w:bookmarkEnd w:id="8"/>
          </w:p>
        </w:tc>
      </w:tr>
      <w:tr w14:paraId="47547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8865" w:type="dxa"/>
            <w:gridSpan w:val="2"/>
            <w:noWrap w:val="0"/>
            <w:vAlign w:val="center"/>
          </w:tcPr>
          <w:p w14:paraId="6D4A4FB9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zh-CN"/>
              </w:rPr>
              <w:t>1.程序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验收后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zh-CN"/>
              </w:rPr>
              <w:t>提供一年的免费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维护保障服务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zh-CN"/>
              </w:rPr>
              <w:t>。</w:t>
            </w:r>
          </w:p>
          <w:p w14:paraId="4A372A10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zh-CN"/>
              </w:rPr>
              <w:t>2.维护方式包括邮件、电话、远程维护等方式。</w:t>
            </w:r>
          </w:p>
          <w:p w14:paraId="68A0E217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3.响应支持：7天*24小时/周</w:t>
            </w:r>
          </w:p>
          <w:p w14:paraId="64406FF2">
            <w:pPr>
              <w:widowControl/>
              <w:jc w:val="left"/>
              <w:rPr>
                <w:rFonts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4.服务支持：7天*24小时/周</w:t>
            </w:r>
          </w:p>
        </w:tc>
      </w:tr>
      <w:tr w14:paraId="12114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5" w:type="dxa"/>
            <w:gridSpan w:val="2"/>
            <w:noWrap w:val="0"/>
            <w:vAlign w:val="center"/>
          </w:tcPr>
          <w:p w14:paraId="73558EED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十、项目考核要求</w:t>
            </w:r>
          </w:p>
        </w:tc>
      </w:tr>
      <w:tr w14:paraId="41231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5" w:type="dxa"/>
            <w:gridSpan w:val="2"/>
            <w:noWrap w:val="0"/>
            <w:vAlign w:val="center"/>
          </w:tcPr>
          <w:p w14:paraId="353D700D">
            <w:pPr>
              <w:rPr>
                <w:rFonts w:hint="eastAsia" w:ascii="宋体" w:hAnsi="宋体" w:cs="宋体"/>
                <w:color w:val="00B050"/>
                <w:spacing w:val="8"/>
              </w:rPr>
            </w:pPr>
            <w:r>
              <w:rPr>
                <w:rFonts w:hint="eastAsia" w:ascii="宋体" w:hAnsi="宋体" w:cs="宋体"/>
                <w:color w:val="000000"/>
                <w:spacing w:val="8"/>
              </w:rPr>
              <w:t>按照双方合同约定的工期要求和服务工作要求完成项目实施。</w:t>
            </w:r>
          </w:p>
        </w:tc>
      </w:tr>
      <w:tr w14:paraId="40CC1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65" w:type="dxa"/>
            <w:gridSpan w:val="2"/>
            <w:noWrap w:val="0"/>
            <w:vAlign w:val="center"/>
          </w:tcPr>
          <w:p w14:paraId="78050585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十一、项目验收</w:t>
            </w:r>
          </w:p>
        </w:tc>
      </w:tr>
      <w:tr w14:paraId="38ABD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7" w:hRule="atLeast"/>
        </w:trPr>
        <w:tc>
          <w:tcPr>
            <w:tcW w:w="8865" w:type="dxa"/>
            <w:gridSpan w:val="2"/>
            <w:noWrap w:val="0"/>
            <w:vAlign w:val="center"/>
          </w:tcPr>
          <w:p w14:paraId="0263BF4F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cs="宋体"/>
                <w:sz w:val="24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zh-CN"/>
              </w:rPr>
              <w:t>、上线完成后，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甲方按采购范围内容予以上线确认，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zh-CN"/>
              </w:rPr>
              <w:t>乙方向甲方代表书面提请上线完成的确认报告。甲方代表接到报告后3个工作日内按相关上线条件核实已完成情况，并试运行1个月，无问题后可办理验收。</w:t>
            </w:r>
          </w:p>
          <w:p w14:paraId="25B98CF1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zh-CN"/>
              </w:rPr>
            </w:pPr>
            <w:bookmarkStart w:id="9" w:name="_Toc1996563595"/>
            <w:bookmarkStart w:id="10" w:name="_Toc1287495732"/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2、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zh-CN"/>
              </w:rPr>
              <w:t>提供文档应包括：</w:t>
            </w:r>
            <w:bookmarkEnd w:id="9"/>
            <w:bookmarkEnd w:id="10"/>
          </w:p>
          <w:p w14:paraId="0CE8A3CC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（1）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zh-CN"/>
              </w:rPr>
              <w:t>验收报告；</w:t>
            </w:r>
          </w:p>
          <w:p w14:paraId="4DAB8B0A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（2）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zh-CN"/>
              </w:rPr>
              <w:t>按相关规定要求的其他验收资料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如培训记录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zh-CN"/>
              </w:rPr>
              <w:t>。</w:t>
            </w:r>
          </w:p>
          <w:p w14:paraId="34191D08">
            <w:pPr>
              <w:widowControl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zh-CN" w:eastAsia="zh-TW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zh-CN"/>
              </w:rPr>
              <w:t>（3）乙方须产品操作文档、技术文档、常见故障问题处理手册。</w:t>
            </w:r>
          </w:p>
        </w:tc>
      </w:tr>
      <w:tr w14:paraId="562BD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8865" w:type="dxa"/>
            <w:gridSpan w:val="2"/>
            <w:noWrap w:val="0"/>
            <w:vAlign w:val="center"/>
          </w:tcPr>
          <w:p w14:paraId="61CA3027">
            <w:pP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十二、付款方式</w:t>
            </w:r>
          </w:p>
        </w:tc>
      </w:tr>
      <w:tr w14:paraId="15EC5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5" w:hRule="atLeast"/>
        </w:trPr>
        <w:tc>
          <w:tcPr>
            <w:tcW w:w="8865" w:type="dxa"/>
            <w:gridSpan w:val="2"/>
            <w:noWrap w:val="0"/>
            <w:vAlign w:val="center"/>
          </w:tcPr>
          <w:p w14:paraId="12B6AA1C">
            <w:pPr>
              <w:widowControl/>
              <w:numPr>
                <w:ilvl w:val="0"/>
                <w:numId w:val="8"/>
              </w:numPr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zh-CN"/>
              </w:rPr>
              <w:t>合同签订后，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院方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zh-CN"/>
              </w:rPr>
              <w:t>在收到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中标单位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开具的正式等额发票后，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zh-CN"/>
              </w:rPr>
              <w:t>5个工作日内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开始办理支付手续，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zh-CN"/>
              </w:rPr>
              <w:t>向乙方支付合同金额的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45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zh-CN"/>
              </w:rPr>
              <w:t>%。</w:t>
            </w:r>
          </w:p>
          <w:p w14:paraId="66FE2326">
            <w:pPr>
              <w:widowControl/>
              <w:spacing w:line="360" w:lineRule="auto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.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DRGs综合评价管理系统升级项目上线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完成后，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Hans"/>
              </w:rPr>
              <w:t>经双方签字确认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进行验收，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Hans"/>
              </w:rPr>
              <w:t>验收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合格后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院方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zh-CN"/>
              </w:rPr>
              <w:t>在收到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中标单位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开具的正式等额发票后，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zh-CN"/>
              </w:rPr>
              <w:t>5个工作日内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开始办理支付手续，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zh-CN"/>
              </w:rPr>
              <w:t>向乙方支付合同金额的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zh-CN"/>
              </w:rPr>
              <w:t>%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。</w:t>
            </w:r>
          </w:p>
          <w:p w14:paraId="47CCB7B2">
            <w:pPr>
              <w:widowControl/>
              <w:spacing w:line="360" w:lineRule="auto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</w:tbl>
    <w:p w14:paraId="0B9DF12D">
      <w:pPr>
        <w:bidi w:val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051A94"/>
    <w:multiLevelType w:val="singleLevel"/>
    <w:tmpl w:val="81051A94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B8DD42B8"/>
    <w:multiLevelType w:val="singleLevel"/>
    <w:tmpl w:val="B8DD42B8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E8C20A93"/>
    <w:multiLevelType w:val="singleLevel"/>
    <w:tmpl w:val="E8C20A9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EF7E4E47"/>
    <w:multiLevelType w:val="singleLevel"/>
    <w:tmpl w:val="EF7E4E4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07CA1BE5"/>
    <w:multiLevelType w:val="singleLevel"/>
    <w:tmpl w:val="07CA1BE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357C9171"/>
    <w:multiLevelType w:val="singleLevel"/>
    <w:tmpl w:val="357C9171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6">
    <w:nsid w:val="47455604"/>
    <w:multiLevelType w:val="multilevel"/>
    <w:tmpl w:val="47455604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EF9A7B9"/>
    <w:multiLevelType w:val="singleLevel"/>
    <w:tmpl w:val="5EF9A7B9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7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0F084B"/>
    <w:rsid w:val="0BF928B1"/>
    <w:rsid w:val="16015751"/>
    <w:rsid w:val="1B4D3C31"/>
    <w:rsid w:val="1C7008B8"/>
    <w:rsid w:val="21252E7B"/>
    <w:rsid w:val="2A6B7798"/>
    <w:rsid w:val="2F25203A"/>
    <w:rsid w:val="30AC6481"/>
    <w:rsid w:val="39147008"/>
    <w:rsid w:val="41C55CAE"/>
    <w:rsid w:val="4750510B"/>
    <w:rsid w:val="47522E83"/>
    <w:rsid w:val="4BBB4E8E"/>
    <w:rsid w:val="501C3D25"/>
    <w:rsid w:val="519E4E0E"/>
    <w:rsid w:val="52001CBC"/>
    <w:rsid w:val="63BD5975"/>
    <w:rsid w:val="6F7560E8"/>
    <w:rsid w:val="70411C3D"/>
    <w:rsid w:val="72163D40"/>
    <w:rsid w:val="72DB339C"/>
    <w:rsid w:val="73A871BC"/>
    <w:rsid w:val="7E297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rPr>
      <w:rFonts w:ascii="Arial" w:hAnsi="Arial"/>
      <w:szCs w:val="20"/>
    </w:rPr>
  </w:style>
  <w:style w:type="paragraph" w:customStyle="1" w:styleId="5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6">
    <w:name w:val="正文1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3841</Words>
  <Characters>4026</Characters>
  <Lines>0</Lines>
  <Paragraphs>0</Paragraphs>
  <TotalTime>12</TotalTime>
  <ScaleCrop>false</ScaleCrop>
  <LinksUpToDate>false</LinksUpToDate>
  <CharactersWithSpaces>4044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2025-08-28T03:44:00Z</dcterms:created>
  <dc:creator>lb</dc:creator>
  <cp:lastModifiedBy>特猫头</cp:lastModifiedBy>
  <dcterms:modified xsi:type="dcterms:W3CDTF">2026-03-12T10:30:44Z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eyJoZGlkIjoiMGY2MjkxMzNkYTVjZjc4NTA2NzE2NzFmZmJkNjQ4NDMiLCJ1c2VySWQiOiI1NTgyNzY2MTAifQ==</vt:lpwstr>
  </property>
  <property fmtid="{D5CDD505-2E9C-101B-9397-08002B2CF9AE}" pid="4" name="ICV">
    <vt:lpwstr>F731B99CEC774CBD9B4383969D25B99F_13</vt:lpwstr>
  </property>
</Properties>
</file>