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A1D4F6">
      <w:pPr>
        <w:jc w:val="center"/>
        <w:rPr>
          <w:rFonts w:hint="eastAsia"/>
          <w:b/>
          <w:bCs/>
          <w:sz w:val="28"/>
          <w:szCs w:val="36"/>
          <w:lang w:val="en-US" w:eastAsia="zh-CN"/>
        </w:rPr>
      </w:pPr>
      <w:r>
        <w:rPr>
          <w:rFonts w:hint="eastAsia"/>
          <w:b/>
          <w:bCs/>
          <w:sz w:val="28"/>
          <w:szCs w:val="36"/>
          <w:lang w:val="en-US" w:eastAsia="zh-CN"/>
        </w:rPr>
        <w:t>中通服科信信息技术有限公司管理信息系统统一运维服务项目</w:t>
      </w:r>
    </w:p>
    <w:p w14:paraId="37029E67">
      <w:pPr>
        <w:jc w:val="center"/>
        <w:rPr>
          <w:rFonts w:hint="default"/>
          <w:b/>
          <w:bCs/>
          <w:sz w:val="28"/>
          <w:szCs w:val="36"/>
          <w:lang w:val="en-US" w:eastAsia="zh-CN"/>
        </w:rPr>
      </w:pPr>
      <w:r>
        <w:rPr>
          <w:rFonts w:hint="eastAsia"/>
          <w:b/>
          <w:bCs/>
          <w:sz w:val="28"/>
          <w:szCs w:val="36"/>
          <w:lang w:val="en-US" w:eastAsia="zh-CN"/>
        </w:rPr>
        <w:t>澄清公告</w:t>
      </w:r>
    </w:p>
    <w:p w14:paraId="774D40DB">
      <w:pPr>
        <w:jc w:val="left"/>
        <w:rPr>
          <w:rFonts w:hint="eastAsia"/>
          <w:b/>
          <w:bCs/>
          <w:sz w:val="32"/>
          <w:szCs w:val="40"/>
          <w:lang w:val="en-US" w:eastAsia="zh-CN"/>
        </w:rPr>
      </w:pPr>
    </w:p>
    <w:p w14:paraId="632967C0">
      <w:pPr>
        <w:spacing w:line="360" w:lineRule="auto"/>
        <w:ind w:firstLine="320" w:firstLineChars="100"/>
        <w:jc w:val="left"/>
        <w:rPr>
          <w:rFonts w:hint="eastAsia"/>
          <w:b w:val="0"/>
          <w:bCs w:val="0"/>
          <w:sz w:val="32"/>
          <w:szCs w:val="40"/>
          <w:lang w:val="en-US" w:eastAsia="zh-CN"/>
        </w:rPr>
      </w:pPr>
      <w:r>
        <w:rPr>
          <w:rFonts w:hint="eastAsia"/>
          <w:b w:val="0"/>
          <w:bCs w:val="0"/>
          <w:sz w:val="32"/>
          <w:szCs w:val="40"/>
          <w:lang w:val="en-US" w:eastAsia="zh-CN"/>
        </w:rPr>
        <w:t>项目编号：SXZT-2026-10013</w:t>
      </w:r>
    </w:p>
    <w:p w14:paraId="32675910">
      <w:pPr>
        <w:spacing w:line="360" w:lineRule="auto"/>
        <w:ind w:firstLine="320" w:firstLineChars="100"/>
        <w:jc w:val="left"/>
        <w:rPr>
          <w:rFonts w:hint="default"/>
          <w:b w:val="0"/>
          <w:bCs w:val="0"/>
          <w:sz w:val="32"/>
          <w:szCs w:val="40"/>
          <w:lang w:val="en-US" w:eastAsia="zh-CN"/>
        </w:rPr>
      </w:pPr>
      <w:r>
        <w:rPr>
          <w:rFonts w:hint="eastAsia"/>
          <w:b w:val="0"/>
          <w:bCs w:val="0"/>
          <w:sz w:val="32"/>
          <w:szCs w:val="40"/>
          <w:lang w:val="en-US" w:eastAsia="zh-CN"/>
        </w:rPr>
        <w:t>原采购内容：标包8、标包9：</w:t>
      </w:r>
    </w:p>
    <w:tbl>
      <w:tblPr>
        <w:tblStyle w:val="4"/>
        <w:tblW w:w="4998" w:type="pct"/>
        <w:jc w:val="center"/>
        <w:tblLayout w:type="fixed"/>
        <w:tblCellMar>
          <w:top w:w="0" w:type="dxa"/>
          <w:left w:w="108" w:type="dxa"/>
          <w:bottom w:w="0" w:type="dxa"/>
          <w:right w:w="108" w:type="dxa"/>
        </w:tblCellMar>
      </w:tblPr>
      <w:tblGrid>
        <w:gridCol w:w="892"/>
        <w:gridCol w:w="2304"/>
        <w:gridCol w:w="5323"/>
      </w:tblGrid>
      <w:tr w14:paraId="013A2367">
        <w:tblPrEx>
          <w:tblCellMar>
            <w:top w:w="0" w:type="dxa"/>
            <w:left w:w="108" w:type="dxa"/>
            <w:bottom w:w="0" w:type="dxa"/>
            <w:right w:w="108" w:type="dxa"/>
          </w:tblCellMar>
        </w:tblPrEx>
        <w:trPr>
          <w:trHeight w:val="450" w:hRule="atLeast"/>
          <w:jc w:val="center"/>
        </w:trPr>
        <w:tc>
          <w:tcPr>
            <w:tcW w:w="892" w:type="dxa"/>
            <w:tcBorders>
              <w:top w:val="single" w:color="auto" w:sz="4" w:space="0"/>
              <w:left w:val="single" w:color="auto" w:sz="4" w:space="0"/>
              <w:bottom w:val="single" w:color="auto" w:sz="4" w:space="0"/>
              <w:right w:val="single" w:color="auto" w:sz="4" w:space="0"/>
            </w:tcBorders>
            <w:noWrap/>
            <w:vAlign w:val="center"/>
          </w:tcPr>
          <w:p w14:paraId="3C514A4C">
            <w:pPr>
              <w:widowControl/>
              <w:jc w:val="center"/>
              <w:rPr>
                <w:rFonts w:hint="default" w:ascii="宋体" w:hAnsi="宋体" w:eastAsia="宋体" w:cs="宋体"/>
                <w:kern w:val="0"/>
                <w:sz w:val="21"/>
                <w:szCs w:val="21"/>
                <w:highlight w:val="none"/>
                <w:lang w:val="en-US" w:eastAsia="zh-CN"/>
              </w:rPr>
            </w:pPr>
            <w:r>
              <w:rPr>
                <w:rFonts w:hint="eastAsia" w:ascii="宋体" w:hAnsi="宋体" w:eastAsia="宋体" w:cs="宋体"/>
                <w:b/>
                <w:bCs/>
                <w:kern w:val="0"/>
                <w:sz w:val="21"/>
                <w:szCs w:val="21"/>
                <w:highlight w:val="none"/>
                <w:lang w:val="en-US" w:eastAsia="zh-CN"/>
              </w:rPr>
              <w:t>标包号</w:t>
            </w:r>
          </w:p>
        </w:tc>
        <w:tc>
          <w:tcPr>
            <w:tcW w:w="2304" w:type="dxa"/>
            <w:tcBorders>
              <w:top w:val="single" w:color="auto" w:sz="4" w:space="0"/>
              <w:left w:val="single" w:color="auto" w:sz="4" w:space="0"/>
              <w:bottom w:val="single" w:color="auto" w:sz="4" w:space="0"/>
              <w:right w:val="single" w:color="auto" w:sz="4" w:space="0"/>
            </w:tcBorders>
            <w:noWrap w:val="0"/>
            <w:vAlign w:val="center"/>
          </w:tcPr>
          <w:p w14:paraId="3850E3DD">
            <w:pPr>
              <w:widowControl/>
              <w:jc w:val="center"/>
              <w:rPr>
                <w:rFonts w:hint="eastAsia" w:ascii="宋体" w:hAnsi="宋体" w:eastAsia="宋体" w:cs="宋体"/>
                <w:kern w:val="0"/>
                <w:sz w:val="21"/>
                <w:szCs w:val="21"/>
                <w:highlight w:val="none"/>
              </w:rPr>
            </w:pPr>
            <w:r>
              <w:rPr>
                <w:rFonts w:hint="eastAsia" w:ascii="宋体" w:hAnsi="宋体" w:eastAsia="宋体" w:cs="宋体"/>
                <w:b/>
                <w:bCs/>
                <w:kern w:val="0"/>
                <w:sz w:val="21"/>
                <w:szCs w:val="21"/>
                <w:highlight w:val="none"/>
                <w:lang w:val="en-US" w:eastAsia="zh-CN"/>
              </w:rPr>
              <w:t>标包</w:t>
            </w:r>
            <w:r>
              <w:rPr>
                <w:rFonts w:hint="eastAsia" w:ascii="宋体" w:hAnsi="宋体" w:eastAsia="宋体" w:cs="宋体"/>
                <w:b/>
                <w:bCs/>
                <w:kern w:val="0"/>
                <w:sz w:val="21"/>
                <w:szCs w:val="21"/>
                <w:highlight w:val="none"/>
              </w:rPr>
              <w:t>名称</w:t>
            </w:r>
          </w:p>
        </w:tc>
        <w:tc>
          <w:tcPr>
            <w:tcW w:w="5323" w:type="dxa"/>
            <w:tcBorders>
              <w:top w:val="single" w:color="auto" w:sz="4" w:space="0"/>
              <w:left w:val="single" w:color="auto" w:sz="4" w:space="0"/>
              <w:bottom w:val="single" w:color="auto" w:sz="4" w:space="0"/>
              <w:right w:val="single" w:color="auto" w:sz="4" w:space="0"/>
            </w:tcBorders>
            <w:noWrap w:val="0"/>
            <w:vAlign w:val="center"/>
          </w:tcPr>
          <w:p w14:paraId="1B188442">
            <w:pPr>
              <w:widowControl/>
              <w:jc w:val="center"/>
              <w:rPr>
                <w:rFonts w:hint="eastAsia" w:ascii="宋体" w:hAnsi="宋体" w:eastAsia="宋体" w:cs="宋体"/>
                <w:kern w:val="0"/>
                <w:sz w:val="21"/>
                <w:szCs w:val="21"/>
                <w:highlight w:val="none"/>
                <w:lang w:eastAsia="zh-CN"/>
              </w:rPr>
            </w:pPr>
            <w:r>
              <w:rPr>
                <w:rFonts w:hint="eastAsia" w:ascii="宋体" w:hAnsi="宋体" w:eastAsia="宋体" w:cs="宋体"/>
                <w:b/>
                <w:bCs/>
                <w:kern w:val="0"/>
                <w:sz w:val="21"/>
                <w:szCs w:val="21"/>
                <w:highlight w:val="none"/>
              </w:rPr>
              <w:t>服务</w:t>
            </w:r>
            <w:r>
              <w:rPr>
                <w:rFonts w:hint="eastAsia" w:ascii="宋体" w:hAnsi="宋体" w:eastAsia="宋体" w:cs="宋体"/>
                <w:b/>
                <w:bCs/>
                <w:kern w:val="0"/>
                <w:sz w:val="21"/>
                <w:szCs w:val="21"/>
                <w:highlight w:val="none"/>
                <w:lang w:val="en-US" w:eastAsia="zh-CN"/>
              </w:rPr>
              <w:t>内容</w:t>
            </w:r>
          </w:p>
        </w:tc>
      </w:tr>
      <w:tr w14:paraId="3DA6B0B0">
        <w:tblPrEx>
          <w:tblCellMar>
            <w:top w:w="0" w:type="dxa"/>
            <w:left w:w="108" w:type="dxa"/>
            <w:bottom w:w="0" w:type="dxa"/>
            <w:right w:w="108" w:type="dxa"/>
          </w:tblCellMar>
        </w:tblPrEx>
        <w:trPr>
          <w:trHeight w:val="3160" w:hRule="atLeast"/>
          <w:jc w:val="center"/>
        </w:trPr>
        <w:tc>
          <w:tcPr>
            <w:tcW w:w="892" w:type="dxa"/>
            <w:tcBorders>
              <w:top w:val="nil"/>
              <w:left w:val="single" w:color="auto" w:sz="4" w:space="0"/>
              <w:bottom w:val="single" w:color="auto" w:sz="4" w:space="0"/>
              <w:right w:val="single" w:color="auto" w:sz="4" w:space="0"/>
            </w:tcBorders>
            <w:noWrap/>
            <w:vAlign w:val="center"/>
          </w:tcPr>
          <w:p w14:paraId="5B307FB5">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8</w:t>
            </w:r>
          </w:p>
        </w:tc>
        <w:tc>
          <w:tcPr>
            <w:tcW w:w="2304" w:type="dxa"/>
            <w:tcBorders>
              <w:top w:val="nil"/>
              <w:left w:val="nil"/>
              <w:bottom w:val="single" w:color="auto" w:sz="4" w:space="0"/>
              <w:right w:val="single" w:color="auto" w:sz="4" w:space="0"/>
            </w:tcBorders>
            <w:noWrap w:val="0"/>
            <w:vAlign w:val="center"/>
          </w:tcPr>
          <w:p w14:paraId="0B4AF2F9">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危险化学品安全生产风险监测预警系统运维服务</w:t>
            </w:r>
          </w:p>
        </w:tc>
        <w:tc>
          <w:tcPr>
            <w:tcW w:w="5323" w:type="dxa"/>
            <w:tcBorders>
              <w:top w:val="nil"/>
              <w:left w:val="nil"/>
              <w:bottom w:val="single" w:color="auto" w:sz="4" w:space="0"/>
              <w:right w:val="single" w:color="auto" w:sz="4" w:space="0"/>
            </w:tcBorders>
            <w:noWrap w:val="0"/>
            <w:vAlign w:val="center"/>
          </w:tcPr>
          <w:p w14:paraId="71589213">
            <w:pPr>
              <w:widowControl/>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负责对危险化学品安全生产风险监测预警系统主机及存储系统、数据库系统、中间件、系统数据接入、信息安全、服务总线数据治理及切换、企业值守等设备及系统提供运行维护与安全防范服务，保证现有的信息系统的正常运行，降低整体管理成本，提高信息系统的整体服务水平，同时根据日常维护的数据和记录，提供风险预警系统的整体建设规划和建议，更好地为用户的信息化发展提供有力的保障。（需提供软件开发厂商原厂授权）</w:t>
            </w:r>
          </w:p>
        </w:tc>
      </w:tr>
      <w:tr w14:paraId="7C6EE50E">
        <w:tblPrEx>
          <w:tblCellMar>
            <w:top w:w="0" w:type="dxa"/>
            <w:left w:w="108" w:type="dxa"/>
            <w:bottom w:w="0" w:type="dxa"/>
            <w:right w:w="108" w:type="dxa"/>
          </w:tblCellMar>
        </w:tblPrEx>
        <w:trPr>
          <w:trHeight w:val="2218" w:hRule="atLeast"/>
          <w:jc w:val="center"/>
        </w:trPr>
        <w:tc>
          <w:tcPr>
            <w:tcW w:w="892" w:type="dxa"/>
            <w:tcBorders>
              <w:top w:val="nil"/>
              <w:left w:val="single" w:color="auto" w:sz="4" w:space="0"/>
              <w:bottom w:val="single" w:color="auto" w:sz="4" w:space="0"/>
              <w:right w:val="single" w:color="auto" w:sz="4" w:space="0"/>
            </w:tcBorders>
            <w:noWrap/>
            <w:vAlign w:val="center"/>
          </w:tcPr>
          <w:p w14:paraId="76C68B24">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9</w:t>
            </w:r>
          </w:p>
        </w:tc>
        <w:tc>
          <w:tcPr>
            <w:tcW w:w="2304" w:type="dxa"/>
            <w:tcBorders>
              <w:top w:val="nil"/>
              <w:left w:val="nil"/>
              <w:bottom w:val="single" w:color="auto" w:sz="4" w:space="0"/>
              <w:right w:val="single" w:color="auto" w:sz="4" w:space="0"/>
            </w:tcBorders>
            <w:noWrap w:val="0"/>
            <w:vAlign w:val="center"/>
          </w:tcPr>
          <w:p w14:paraId="15374632">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智慧林火系统运维服务</w:t>
            </w:r>
          </w:p>
        </w:tc>
        <w:tc>
          <w:tcPr>
            <w:tcW w:w="5323" w:type="dxa"/>
            <w:tcBorders>
              <w:top w:val="nil"/>
              <w:left w:val="nil"/>
              <w:bottom w:val="single" w:color="auto" w:sz="4" w:space="0"/>
              <w:right w:val="single" w:color="auto" w:sz="4" w:space="0"/>
            </w:tcBorders>
            <w:noWrap w:val="0"/>
            <w:vAlign w:val="center"/>
          </w:tcPr>
          <w:p w14:paraId="5B10C9B0">
            <w:pPr>
              <w:widowControl/>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负责提供基于多源卫星遥感数据反演的森林火情卫星热点监测服务，并提供与该技术服务有关的培训、技术咨询等内容，同时全力做好智慧林火平台数据服务的各项技术支持和系统运维服务；确保智慧林火系统正常运行，并在有需求时配合业主进行业务系统使用培训和功能展示。（需提供软件开发厂商原厂授权）</w:t>
            </w:r>
          </w:p>
        </w:tc>
      </w:tr>
    </w:tbl>
    <w:p w14:paraId="5F4E2216">
      <w:pPr>
        <w:spacing w:line="600" w:lineRule="auto"/>
        <w:ind w:firstLine="320" w:firstLineChars="100"/>
        <w:jc w:val="left"/>
        <w:rPr>
          <w:rFonts w:hint="default"/>
          <w:b w:val="0"/>
          <w:bCs w:val="0"/>
          <w:sz w:val="32"/>
          <w:szCs w:val="40"/>
          <w:lang w:val="en-US" w:eastAsia="zh-CN"/>
        </w:rPr>
      </w:pPr>
      <w:r>
        <w:rPr>
          <w:rFonts w:hint="eastAsia"/>
          <w:b w:val="0"/>
          <w:bCs w:val="0"/>
          <w:sz w:val="32"/>
          <w:szCs w:val="40"/>
          <w:lang w:val="en-US" w:eastAsia="zh-CN"/>
        </w:rPr>
        <w:t>修改为：</w:t>
      </w:r>
    </w:p>
    <w:tbl>
      <w:tblPr>
        <w:tblStyle w:val="4"/>
        <w:tblpPr w:leftFromText="180" w:rightFromText="180" w:vertAnchor="text" w:horzAnchor="page" w:tblpX="1797" w:tblpY="458"/>
        <w:tblOverlap w:val="never"/>
        <w:tblW w:w="4998" w:type="pct"/>
        <w:tblInd w:w="0" w:type="dxa"/>
        <w:tblLayout w:type="fixed"/>
        <w:tblCellMar>
          <w:top w:w="0" w:type="dxa"/>
          <w:left w:w="108" w:type="dxa"/>
          <w:bottom w:w="0" w:type="dxa"/>
          <w:right w:w="108" w:type="dxa"/>
        </w:tblCellMar>
      </w:tblPr>
      <w:tblGrid>
        <w:gridCol w:w="892"/>
        <w:gridCol w:w="2304"/>
        <w:gridCol w:w="5323"/>
      </w:tblGrid>
      <w:tr w14:paraId="783D5792">
        <w:tblPrEx>
          <w:tblCellMar>
            <w:top w:w="0" w:type="dxa"/>
            <w:left w:w="108" w:type="dxa"/>
            <w:bottom w:w="0" w:type="dxa"/>
            <w:right w:w="108" w:type="dxa"/>
          </w:tblCellMar>
        </w:tblPrEx>
        <w:trPr>
          <w:trHeight w:val="450" w:hRule="atLeast"/>
        </w:trPr>
        <w:tc>
          <w:tcPr>
            <w:tcW w:w="892" w:type="dxa"/>
            <w:tcBorders>
              <w:top w:val="single" w:color="auto" w:sz="4" w:space="0"/>
              <w:left w:val="single" w:color="auto" w:sz="4" w:space="0"/>
              <w:bottom w:val="single" w:color="auto" w:sz="4" w:space="0"/>
              <w:right w:val="single" w:color="auto" w:sz="4" w:space="0"/>
            </w:tcBorders>
            <w:noWrap/>
            <w:vAlign w:val="center"/>
          </w:tcPr>
          <w:p w14:paraId="37AB24BA">
            <w:pPr>
              <w:widowControl/>
              <w:jc w:val="center"/>
              <w:rPr>
                <w:rFonts w:hint="default" w:ascii="宋体" w:hAnsi="宋体" w:eastAsia="宋体" w:cs="宋体"/>
                <w:kern w:val="0"/>
                <w:sz w:val="21"/>
                <w:szCs w:val="21"/>
                <w:highlight w:val="none"/>
                <w:lang w:val="en-US" w:eastAsia="zh-CN"/>
              </w:rPr>
            </w:pPr>
            <w:bookmarkStart w:id="0" w:name="_GoBack"/>
            <w:r>
              <w:rPr>
                <w:rFonts w:hint="eastAsia" w:ascii="宋体" w:hAnsi="宋体" w:eastAsia="宋体" w:cs="宋体"/>
                <w:b/>
                <w:bCs/>
                <w:kern w:val="0"/>
                <w:sz w:val="21"/>
                <w:szCs w:val="21"/>
                <w:highlight w:val="none"/>
                <w:lang w:val="en-US" w:eastAsia="zh-CN"/>
              </w:rPr>
              <w:t>标包号</w:t>
            </w:r>
          </w:p>
        </w:tc>
        <w:tc>
          <w:tcPr>
            <w:tcW w:w="2304" w:type="dxa"/>
            <w:tcBorders>
              <w:top w:val="single" w:color="auto" w:sz="4" w:space="0"/>
              <w:left w:val="single" w:color="auto" w:sz="4" w:space="0"/>
              <w:bottom w:val="single" w:color="auto" w:sz="4" w:space="0"/>
              <w:right w:val="single" w:color="auto" w:sz="4" w:space="0"/>
            </w:tcBorders>
            <w:noWrap w:val="0"/>
            <w:vAlign w:val="center"/>
          </w:tcPr>
          <w:p w14:paraId="261043E8">
            <w:pPr>
              <w:widowControl/>
              <w:jc w:val="center"/>
              <w:rPr>
                <w:rFonts w:hint="eastAsia" w:ascii="宋体" w:hAnsi="宋体" w:eastAsia="宋体" w:cs="宋体"/>
                <w:kern w:val="0"/>
                <w:sz w:val="21"/>
                <w:szCs w:val="21"/>
                <w:highlight w:val="none"/>
              </w:rPr>
            </w:pPr>
            <w:r>
              <w:rPr>
                <w:rFonts w:hint="eastAsia" w:ascii="宋体" w:hAnsi="宋体" w:eastAsia="宋体" w:cs="宋体"/>
                <w:b/>
                <w:bCs/>
                <w:kern w:val="0"/>
                <w:sz w:val="21"/>
                <w:szCs w:val="21"/>
                <w:highlight w:val="none"/>
                <w:lang w:val="en-US" w:eastAsia="zh-CN"/>
              </w:rPr>
              <w:t>标包</w:t>
            </w:r>
            <w:r>
              <w:rPr>
                <w:rFonts w:hint="eastAsia" w:ascii="宋体" w:hAnsi="宋体" w:eastAsia="宋体" w:cs="宋体"/>
                <w:b/>
                <w:bCs/>
                <w:kern w:val="0"/>
                <w:sz w:val="21"/>
                <w:szCs w:val="21"/>
                <w:highlight w:val="none"/>
              </w:rPr>
              <w:t>名称</w:t>
            </w:r>
          </w:p>
        </w:tc>
        <w:tc>
          <w:tcPr>
            <w:tcW w:w="5323" w:type="dxa"/>
            <w:tcBorders>
              <w:top w:val="single" w:color="auto" w:sz="4" w:space="0"/>
              <w:left w:val="single" w:color="auto" w:sz="4" w:space="0"/>
              <w:bottom w:val="single" w:color="auto" w:sz="4" w:space="0"/>
              <w:right w:val="single" w:color="auto" w:sz="4" w:space="0"/>
            </w:tcBorders>
            <w:noWrap w:val="0"/>
            <w:vAlign w:val="center"/>
          </w:tcPr>
          <w:p w14:paraId="1C9A0717">
            <w:pPr>
              <w:widowControl/>
              <w:jc w:val="center"/>
              <w:rPr>
                <w:rFonts w:hint="eastAsia" w:ascii="宋体" w:hAnsi="宋体" w:eastAsia="宋体" w:cs="宋体"/>
                <w:kern w:val="0"/>
                <w:sz w:val="21"/>
                <w:szCs w:val="21"/>
                <w:highlight w:val="none"/>
                <w:lang w:eastAsia="zh-CN"/>
              </w:rPr>
            </w:pPr>
            <w:r>
              <w:rPr>
                <w:rFonts w:hint="eastAsia" w:ascii="宋体" w:hAnsi="宋体" w:eastAsia="宋体" w:cs="宋体"/>
                <w:b/>
                <w:bCs/>
                <w:kern w:val="0"/>
                <w:sz w:val="21"/>
                <w:szCs w:val="21"/>
                <w:highlight w:val="none"/>
              </w:rPr>
              <w:t>服务</w:t>
            </w:r>
            <w:r>
              <w:rPr>
                <w:rFonts w:hint="eastAsia" w:ascii="宋体" w:hAnsi="宋体" w:eastAsia="宋体" w:cs="宋体"/>
                <w:b/>
                <w:bCs/>
                <w:kern w:val="0"/>
                <w:sz w:val="21"/>
                <w:szCs w:val="21"/>
                <w:highlight w:val="none"/>
                <w:lang w:val="en-US" w:eastAsia="zh-CN"/>
              </w:rPr>
              <w:t>内容</w:t>
            </w:r>
          </w:p>
        </w:tc>
      </w:tr>
      <w:tr w14:paraId="535BCCCE">
        <w:tblPrEx>
          <w:tblCellMar>
            <w:top w:w="0" w:type="dxa"/>
            <w:left w:w="108" w:type="dxa"/>
            <w:bottom w:w="0" w:type="dxa"/>
            <w:right w:w="108" w:type="dxa"/>
          </w:tblCellMar>
        </w:tblPrEx>
        <w:trPr>
          <w:trHeight w:val="3160" w:hRule="atLeast"/>
        </w:trPr>
        <w:tc>
          <w:tcPr>
            <w:tcW w:w="892" w:type="dxa"/>
            <w:tcBorders>
              <w:top w:val="nil"/>
              <w:left w:val="single" w:color="auto" w:sz="4" w:space="0"/>
              <w:bottom w:val="single" w:color="auto" w:sz="4" w:space="0"/>
              <w:right w:val="single" w:color="auto" w:sz="4" w:space="0"/>
            </w:tcBorders>
            <w:noWrap/>
            <w:vAlign w:val="center"/>
          </w:tcPr>
          <w:p w14:paraId="0A6C117F">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8</w:t>
            </w:r>
          </w:p>
        </w:tc>
        <w:tc>
          <w:tcPr>
            <w:tcW w:w="2304" w:type="dxa"/>
            <w:tcBorders>
              <w:top w:val="nil"/>
              <w:left w:val="nil"/>
              <w:bottom w:val="single" w:color="auto" w:sz="4" w:space="0"/>
              <w:right w:val="single" w:color="auto" w:sz="4" w:space="0"/>
            </w:tcBorders>
            <w:noWrap w:val="0"/>
            <w:vAlign w:val="center"/>
          </w:tcPr>
          <w:p w14:paraId="2E769CE4">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危险化学品安全生产风险监测预警系统运维服务</w:t>
            </w:r>
          </w:p>
        </w:tc>
        <w:tc>
          <w:tcPr>
            <w:tcW w:w="5323" w:type="dxa"/>
            <w:tcBorders>
              <w:top w:val="nil"/>
              <w:left w:val="nil"/>
              <w:bottom w:val="single" w:color="auto" w:sz="4" w:space="0"/>
              <w:right w:val="single" w:color="auto" w:sz="4" w:space="0"/>
            </w:tcBorders>
            <w:noWrap w:val="0"/>
            <w:vAlign w:val="center"/>
          </w:tcPr>
          <w:p w14:paraId="366112FC">
            <w:pPr>
              <w:widowControl/>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负责对危险化学品安全生产风险监测预警系统主机及存储系统、数据库系统、中间件、系统数据接入、信息安全、服务总线数据治理及切换、企业值守等设备及系统提供运行维护与安全防范服务，保证现有的信息系统的正常运行，降低整体管理成本，提高信息系统的整体服务水平，同时根据日常维护的数据和记录，提供风险预警系统的整体建设规划和建议，更好地为用户的信息化发展提供有力的保障。</w:t>
            </w:r>
          </w:p>
        </w:tc>
      </w:tr>
      <w:tr w14:paraId="1FCC5A12">
        <w:tblPrEx>
          <w:tblCellMar>
            <w:top w:w="0" w:type="dxa"/>
            <w:left w:w="108" w:type="dxa"/>
            <w:bottom w:w="0" w:type="dxa"/>
            <w:right w:w="108" w:type="dxa"/>
          </w:tblCellMar>
        </w:tblPrEx>
        <w:trPr>
          <w:trHeight w:val="2218" w:hRule="atLeast"/>
        </w:trPr>
        <w:tc>
          <w:tcPr>
            <w:tcW w:w="892" w:type="dxa"/>
            <w:tcBorders>
              <w:top w:val="nil"/>
              <w:left w:val="single" w:color="auto" w:sz="4" w:space="0"/>
              <w:bottom w:val="single" w:color="auto" w:sz="4" w:space="0"/>
              <w:right w:val="single" w:color="auto" w:sz="4" w:space="0"/>
            </w:tcBorders>
            <w:noWrap/>
            <w:vAlign w:val="center"/>
          </w:tcPr>
          <w:p w14:paraId="1A43DF5B">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9</w:t>
            </w:r>
          </w:p>
        </w:tc>
        <w:tc>
          <w:tcPr>
            <w:tcW w:w="2304" w:type="dxa"/>
            <w:tcBorders>
              <w:top w:val="nil"/>
              <w:left w:val="nil"/>
              <w:bottom w:val="single" w:color="auto" w:sz="4" w:space="0"/>
              <w:right w:val="single" w:color="auto" w:sz="4" w:space="0"/>
            </w:tcBorders>
            <w:noWrap w:val="0"/>
            <w:vAlign w:val="center"/>
          </w:tcPr>
          <w:p w14:paraId="1D32DCDE">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智慧林火系统运维服务</w:t>
            </w:r>
          </w:p>
        </w:tc>
        <w:tc>
          <w:tcPr>
            <w:tcW w:w="5323" w:type="dxa"/>
            <w:tcBorders>
              <w:top w:val="nil"/>
              <w:left w:val="nil"/>
              <w:bottom w:val="single" w:color="auto" w:sz="4" w:space="0"/>
              <w:right w:val="single" w:color="auto" w:sz="4" w:space="0"/>
            </w:tcBorders>
            <w:noWrap w:val="0"/>
            <w:vAlign w:val="center"/>
          </w:tcPr>
          <w:p w14:paraId="6F8BB135">
            <w:pPr>
              <w:widowControl/>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负责提供基于多源卫星遥感数据反演的森林火情卫星热点监测服务，并提供与该技术服务有关的培训、技术咨询等内容，同时全力做好智慧林火平台数据服务的各项技术支持和系统运维服务；确保智慧林火系统正常运行，并在有需求时配合业主进行业务系统使用培训和功能展示。</w:t>
            </w:r>
          </w:p>
        </w:tc>
      </w:tr>
      <w:bookmarkEnd w:id="0"/>
    </w:tbl>
    <w:p w14:paraId="09003672">
      <w:pPr>
        <w:spacing w:line="600" w:lineRule="auto"/>
        <w:ind w:firstLine="241" w:firstLineChars="100"/>
        <w:jc w:val="right"/>
        <w:rPr>
          <w:rFonts w:hint="eastAsia"/>
          <w:b/>
          <w:bCs/>
          <w:sz w:val="24"/>
          <w:szCs w:val="32"/>
          <w:lang w:val="en-US" w:eastAsia="zh-CN"/>
        </w:rPr>
      </w:pPr>
    </w:p>
    <w:p w14:paraId="228DA9F6">
      <w:pPr>
        <w:spacing w:line="600" w:lineRule="auto"/>
        <w:ind w:firstLine="240" w:firstLineChars="100"/>
        <w:jc w:val="right"/>
        <w:rPr>
          <w:rFonts w:hint="eastAsia"/>
          <w:b w:val="0"/>
          <w:bCs w:val="0"/>
          <w:sz w:val="24"/>
          <w:szCs w:val="32"/>
          <w:lang w:val="en-US" w:eastAsia="zh-CN"/>
        </w:rPr>
      </w:pPr>
      <w:r>
        <w:rPr>
          <w:rFonts w:hint="eastAsia"/>
          <w:b w:val="0"/>
          <w:bCs w:val="0"/>
          <w:sz w:val="24"/>
          <w:szCs w:val="32"/>
          <w:lang w:val="en-US" w:eastAsia="zh-CN"/>
        </w:rPr>
        <w:t>采购代理机构：中通服供应链股份有限公司陕西分公司</w:t>
      </w:r>
    </w:p>
    <w:p w14:paraId="29616669">
      <w:pPr>
        <w:wordWrap w:val="0"/>
        <w:spacing w:line="600" w:lineRule="auto"/>
        <w:ind w:firstLine="240" w:firstLineChars="100"/>
        <w:jc w:val="both"/>
        <w:rPr>
          <w:rFonts w:hint="default"/>
          <w:b w:val="0"/>
          <w:bCs w:val="0"/>
          <w:sz w:val="24"/>
          <w:szCs w:val="32"/>
          <w:lang w:val="en-US" w:eastAsia="zh-CN"/>
        </w:rPr>
      </w:pPr>
      <w:r>
        <w:rPr>
          <w:rFonts w:hint="eastAsia"/>
          <w:b w:val="0"/>
          <w:bCs w:val="0"/>
          <w:sz w:val="24"/>
          <w:szCs w:val="32"/>
          <w:lang w:val="en-US" w:eastAsia="zh-CN"/>
        </w:rPr>
        <w:t xml:space="preserve">                                       2026年03月11日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243E9E"/>
    <w:rsid w:val="4ADC4215"/>
    <w:rsid w:val="551718B3"/>
    <w:rsid w:val="77243E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toa heading"/>
    <w:basedOn w:val="1"/>
    <w:next w:val="1"/>
    <w:unhideWhenUsed/>
    <w:qFormat/>
    <w:uiPriority w:val="99"/>
    <w:pPr>
      <w:spacing w:before="120"/>
    </w:pPr>
    <w:rPr>
      <w:rFonts w:ascii="Cambria" w:hAnsi="Cambria"/>
      <w:sz w:val="24"/>
    </w:rPr>
  </w:style>
  <w:style w:type="paragraph" w:styleId="3">
    <w:name w:val="Body Text"/>
    <w:basedOn w:val="1"/>
    <w:next w:val="1"/>
    <w:uiPriority w:val="0"/>
    <w:pPr>
      <w:spacing w:line="360" w:lineRule="auto"/>
    </w:pPr>
    <w:rPr>
      <w:rFonts w:ascii="宋体" w:hAnsi="宋体" w:eastAsia="宋体" w:cs="Times New Roman"/>
      <w:bCs/>
      <w:sz w:val="24"/>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120</Words>
  <Characters>151</Characters>
  <Lines>0</Lines>
  <Paragraphs>0</Paragraphs>
  <TotalTime>5</TotalTime>
  <ScaleCrop>false</ScaleCrop>
  <LinksUpToDate>false</LinksUpToDate>
  <CharactersWithSpaces>195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2025-11-24T07:10:00Z</dcterms:created>
  <dc:creator>86159</dc:creator>
  <cp:lastModifiedBy>小疙瘩</cp:lastModifiedBy>
  <dcterms:modified xsi:type="dcterms:W3CDTF">2026-03-11T09:31:40Z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BEDDFDECFFBA4CB18FED968A57BE1627_13</vt:lpwstr>
  </property>
  <property fmtid="{D5CDD505-2E9C-101B-9397-08002B2CF9AE}" pid="4" name="KSOTemplateDocerSaveRecord">
    <vt:lpwstr>eyJoZGlkIjoiY2VlYWFjNzU2NTI5MmNhZDU1YjI4NGY2ZjU2ZDgxZmQiLCJ1c2VySWQiOiIxMDQwOTkyNDU0In0=</vt:lpwstr>
  </property>
</Properties>
</file>