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326413">
      <w:pPr>
        <w:snapToGrid w:val="0"/>
        <w:jc w:val="center"/>
        <w:rPr>
          <w:rFonts w:hint="eastAsia" w:ascii="仿宋" w:hAnsi="仿宋" w:eastAsia="仿宋" w:cs="仿宋"/>
          <w:b/>
          <w:color w:val="000000"/>
          <w:sz w:val="44"/>
          <w:szCs w:val="44"/>
          <w:highlight w:val="none"/>
          <w:lang w:eastAsia="zh-CN"/>
        </w:rPr>
      </w:pPr>
      <w:r>
        <w:rPr>
          <w:rFonts w:hint="eastAsia" w:ascii="仿宋" w:hAnsi="仿宋" w:eastAsia="仿宋" w:cs="仿宋"/>
          <w:b/>
          <w:color w:val="000000"/>
          <w:sz w:val="44"/>
          <w:szCs w:val="44"/>
          <w:highlight w:val="none"/>
          <w:lang w:eastAsia="zh-CN"/>
        </w:rPr>
        <w:t>2026年度中国银行泉州分行茶叶采购项目</w:t>
      </w:r>
    </w:p>
    <w:p w14:paraId="7EDE3805">
      <w:pPr>
        <w:pStyle w:val="2"/>
        <w:spacing w:line="360" w:lineRule="auto"/>
      </w:pPr>
      <w:r>
        <w:rPr>
          <w:rFonts w:hint="eastAsia"/>
          <w:lang w:val="en-US" w:eastAsia="zh-CN"/>
        </w:rPr>
        <w:t>招标公告</w:t>
      </w:r>
    </w:p>
    <w:p w14:paraId="0141B440">
      <w:pPr>
        <w:ind w:firstLine="480" w:firstLineChars="200"/>
        <w:rPr>
          <w:rFonts w:hint="eastAsia" w:ascii="仿宋" w:hAnsi="仿宋" w:eastAsia="仿宋" w:cs="仿宋"/>
          <w:sz w:val="24"/>
          <w:szCs w:val="21"/>
          <w:highlight w:val="none"/>
          <w:lang w:val="en-US" w:eastAsia="zh-CN"/>
        </w:rPr>
      </w:pPr>
      <w:r>
        <w:rPr>
          <w:rFonts w:hint="eastAsia" w:ascii="仿宋" w:hAnsi="仿宋" w:eastAsia="仿宋" w:cs="仿宋"/>
          <w:sz w:val="24"/>
          <w:szCs w:val="21"/>
          <w:highlight w:val="none"/>
          <w:lang w:val="en-US" w:eastAsia="zh-CN"/>
        </w:rPr>
        <w:t>福建省中通通信有限公司受中国银行股份有限公司泉州分行委托，就2026年度中国银行泉州分行茶叶采购项目进行公开招标。项目资金由招标人自筹，资金已落实。</w:t>
      </w:r>
    </w:p>
    <w:p w14:paraId="0093F7F4">
      <w:pPr>
        <w:numPr>
          <w:ilvl w:val="0"/>
          <w:numId w:val="0"/>
        </w:numPr>
        <w:spacing w:line="360" w:lineRule="auto"/>
        <w:ind w:left="0" w:leftChars="0" w:firstLine="0" w:firstLineChars="0"/>
        <w:outlineLvl w:val="1"/>
        <w:rPr>
          <w:rFonts w:ascii="仿宋" w:hAnsi="仿宋" w:eastAsia="仿宋" w:cs="仿宋"/>
          <w:b/>
          <w:bCs/>
          <w:sz w:val="24"/>
          <w:szCs w:val="21"/>
          <w:highlight w:val="none"/>
        </w:rPr>
      </w:pPr>
      <w:bookmarkStart w:id="0" w:name="_Toc31764"/>
      <w:bookmarkStart w:id="1" w:name="_Toc108796132"/>
      <w:bookmarkStart w:id="2" w:name="_Toc150933561"/>
      <w:bookmarkStart w:id="3" w:name="_Toc11694"/>
      <w:bookmarkStart w:id="4" w:name="_Toc149230385"/>
      <w:bookmarkStart w:id="5" w:name="_Toc6359"/>
      <w:r>
        <w:rPr>
          <w:rFonts w:hint="eastAsia" w:ascii="仿宋" w:hAnsi="仿宋" w:eastAsia="仿宋" w:cs="仿宋"/>
          <w:b/>
          <w:bCs/>
          <w:kern w:val="2"/>
          <w:sz w:val="24"/>
          <w:szCs w:val="21"/>
          <w:highlight w:val="none"/>
          <w:lang w:val="en-US" w:eastAsia="zh-CN" w:bidi="ar-SA"/>
        </w:rPr>
        <w:t>一、</w:t>
      </w:r>
      <w:r>
        <w:rPr>
          <w:rFonts w:hint="eastAsia" w:ascii="仿宋" w:hAnsi="仿宋" w:eastAsia="仿宋" w:cs="仿宋"/>
          <w:b/>
          <w:bCs/>
          <w:sz w:val="24"/>
          <w:szCs w:val="21"/>
          <w:highlight w:val="none"/>
        </w:rPr>
        <w:t>项目名称：</w:t>
      </w:r>
      <w:bookmarkEnd w:id="0"/>
      <w:bookmarkEnd w:id="1"/>
      <w:bookmarkEnd w:id="2"/>
      <w:bookmarkEnd w:id="3"/>
      <w:bookmarkEnd w:id="4"/>
      <w:bookmarkEnd w:id="5"/>
    </w:p>
    <w:p w14:paraId="4AF58661">
      <w:pPr>
        <w:numPr>
          <w:ilvl w:val="0"/>
          <w:numId w:val="0"/>
        </w:numPr>
        <w:spacing w:line="360" w:lineRule="auto"/>
        <w:ind w:left="0" w:leftChars="0" w:firstLine="0" w:firstLineChars="0"/>
        <w:outlineLvl w:val="1"/>
        <w:rPr>
          <w:rFonts w:hint="eastAsia" w:ascii="仿宋" w:hAnsi="仿宋" w:eastAsia="仿宋" w:cs="仿宋"/>
          <w:sz w:val="24"/>
          <w:szCs w:val="21"/>
          <w:highlight w:val="none"/>
          <w:lang w:val="en-US" w:eastAsia="zh-CN"/>
        </w:rPr>
      </w:pPr>
      <w:bookmarkStart w:id="6" w:name="_Toc13879"/>
      <w:r>
        <w:rPr>
          <w:rFonts w:hint="eastAsia" w:ascii="仿宋" w:hAnsi="仿宋" w:eastAsia="仿宋" w:cs="仿宋"/>
          <w:sz w:val="24"/>
          <w:szCs w:val="21"/>
          <w:highlight w:val="none"/>
          <w:lang w:val="en-US" w:eastAsia="zh-CN"/>
        </w:rPr>
        <w:t>2026年度中国银行泉州分行茶叶采购项目</w:t>
      </w:r>
    </w:p>
    <w:p w14:paraId="0CE65DEF">
      <w:pPr>
        <w:numPr>
          <w:ilvl w:val="0"/>
          <w:numId w:val="0"/>
        </w:numPr>
        <w:spacing w:line="360" w:lineRule="auto"/>
        <w:ind w:left="0" w:leftChars="0" w:firstLine="0" w:firstLineChars="0"/>
        <w:outlineLvl w:val="1"/>
        <w:rPr>
          <w:rFonts w:ascii="仿宋" w:hAnsi="仿宋" w:eastAsia="仿宋" w:cs="仿宋"/>
          <w:b/>
          <w:bCs/>
          <w:sz w:val="24"/>
          <w:szCs w:val="21"/>
          <w:highlight w:val="none"/>
        </w:rPr>
      </w:pPr>
      <w:r>
        <w:rPr>
          <w:rFonts w:hint="eastAsia" w:ascii="仿宋" w:hAnsi="仿宋" w:eastAsia="仿宋" w:cs="仿宋"/>
          <w:b/>
          <w:bCs/>
          <w:kern w:val="2"/>
          <w:sz w:val="24"/>
          <w:szCs w:val="21"/>
          <w:highlight w:val="none"/>
          <w:lang w:val="en-US" w:eastAsia="zh-CN" w:bidi="ar-SA"/>
        </w:rPr>
        <w:t>二、</w:t>
      </w:r>
      <w:r>
        <w:rPr>
          <w:rFonts w:hint="eastAsia" w:ascii="仿宋" w:hAnsi="仿宋" w:eastAsia="仿宋" w:cs="仿宋"/>
          <w:b/>
          <w:bCs/>
          <w:sz w:val="24"/>
          <w:szCs w:val="21"/>
          <w:highlight w:val="none"/>
        </w:rPr>
        <w:t>招标编号：</w:t>
      </w:r>
      <w:bookmarkEnd w:id="6"/>
      <w:bookmarkStart w:id="7" w:name="_Toc15873"/>
      <w:bookmarkStart w:id="8" w:name="_Toc108796133"/>
      <w:bookmarkStart w:id="9" w:name="_Toc149230386"/>
      <w:bookmarkStart w:id="10" w:name="_Toc150933562"/>
      <w:bookmarkStart w:id="11" w:name="_Toc13130"/>
    </w:p>
    <w:p w14:paraId="601172E4">
      <w:pPr>
        <w:widowControl w:val="0"/>
        <w:spacing w:after="120" w:line="360" w:lineRule="auto"/>
        <w:ind w:left="0" w:leftChars="0" w:firstLine="480" w:firstLineChars="200"/>
        <w:jc w:val="both"/>
        <w:rPr>
          <w:rFonts w:ascii="仿宋" w:hAnsi="仿宋" w:eastAsia="仿宋" w:cs="Times New Roman"/>
          <w:kern w:val="2"/>
          <w:sz w:val="32"/>
          <w:szCs w:val="32"/>
          <w:highlight w:val="none"/>
          <w:lang w:val="en-US" w:eastAsia="zh-CN" w:bidi="ar-SA"/>
        </w:rPr>
      </w:pPr>
      <w:r>
        <w:rPr>
          <w:rFonts w:hint="eastAsia" w:ascii="仿宋" w:hAnsi="仿宋" w:eastAsia="仿宋" w:cs="仿宋"/>
          <w:kern w:val="2"/>
          <w:sz w:val="24"/>
          <w:szCs w:val="21"/>
          <w:highlight w:val="none"/>
          <w:lang w:val="en-US" w:eastAsia="zh-CN" w:bidi="ar-SA"/>
        </w:rPr>
        <w:t>【FJZT-2025-13143】</w:t>
      </w:r>
    </w:p>
    <w:p w14:paraId="48B86AA1">
      <w:pPr>
        <w:numPr>
          <w:ilvl w:val="0"/>
          <w:numId w:val="0"/>
        </w:numPr>
        <w:spacing w:line="360" w:lineRule="auto"/>
        <w:ind w:left="0" w:leftChars="0" w:firstLine="0" w:firstLineChars="0"/>
        <w:outlineLvl w:val="1"/>
        <w:rPr>
          <w:rFonts w:ascii="仿宋" w:hAnsi="仿宋" w:eastAsia="仿宋" w:cs="仿宋"/>
          <w:b/>
          <w:bCs/>
          <w:sz w:val="24"/>
          <w:szCs w:val="21"/>
          <w:highlight w:val="none"/>
        </w:rPr>
      </w:pPr>
      <w:bookmarkStart w:id="12" w:name="_Toc8380"/>
      <w:r>
        <w:rPr>
          <w:rFonts w:hint="eastAsia" w:ascii="仿宋" w:hAnsi="仿宋" w:eastAsia="仿宋" w:cs="仿宋"/>
          <w:b/>
          <w:bCs/>
          <w:kern w:val="2"/>
          <w:sz w:val="24"/>
          <w:szCs w:val="21"/>
          <w:highlight w:val="none"/>
          <w:lang w:val="en-US" w:eastAsia="zh-CN" w:bidi="ar-SA"/>
        </w:rPr>
        <w:t>三、</w:t>
      </w:r>
      <w:r>
        <w:rPr>
          <w:rFonts w:hint="eastAsia" w:ascii="仿宋" w:hAnsi="仿宋" w:eastAsia="仿宋" w:cs="仿宋"/>
          <w:b/>
          <w:bCs/>
          <w:sz w:val="24"/>
          <w:szCs w:val="21"/>
          <w:highlight w:val="none"/>
        </w:rPr>
        <w:t>项目情况：</w:t>
      </w:r>
      <w:bookmarkEnd w:id="7"/>
      <w:bookmarkEnd w:id="8"/>
      <w:bookmarkEnd w:id="9"/>
      <w:bookmarkEnd w:id="10"/>
      <w:bookmarkEnd w:id="11"/>
      <w:bookmarkEnd w:id="12"/>
      <w:bookmarkStart w:id="13" w:name="_Toc150933563"/>
      <w:bookmarkStart w:id="14" w:name="_Toc149230387"/>
      <w:bookmarkStart w:id="15" w:name="_Toc31550"/>
      <w:bookmarkStart w:id="16" w:name="_Toc31246"/>
      <w:bookmarkStart w:id="17" w:name="_Toc108796134"/>
    </w:p>
    <w:p w14:paraId="5C7A5AEC">
      <w:pPr>
        <w:numPr>
          <w:ilvl w:val="0"/>
          <w:numId w:val="2"/>
        </w:numPr>
        <w:spacing w:line="360" w:lineRule="auto"/>
        <w:ind w:left="60" w:leftChars="0" w:firstLineChars="0"/>
        <w:rPr>
          <w:rFonts w:ascii="仿宋" w:hAnsi="仿宋" w:eastAsia="仿宋" w:cs="Times New Roman"/>
          <w:b/>
          <w:bCs/>
          <w:sz w:val="24"/>
          <w:szCs w:val="21"/>
          <w:highlight w:val="none"/>
        </w:rPr>
      </w:pPr>
      <w:r>
        <w:rPr>
          <w:rFonts w:hint="eastAsia" w:ascii="仿宋" w:hAnsi="仿宋" w:eastAsia="仿宋" w:cs="Times New Roman"/>
          <w:b/>
          <w:bCs/>
          <w:sz w:val="24"/>
          <w:szCs w:val="21"/>
          <w:highlight w:val="none"/>
        </w:rPr>
        <w:t>采购</w:t>
      </w:r>
      <w:r>
        <w:rPr>
          <w:rFonts w:ascii="仿宋" w:hAnsi="仿宋" w:eastAsia="仿宋" w:cs="Times New Roman"/>
          <w:b/>
          <w:bCs/>
          <w:sz w:val="24"/>
          <w:szCs w:val="21"/>
          <w:highlight w:val="none"/>
        </w:rPr>
        <w:t>内容：</w:t>
      </w:r>
    </w:p>
    <w:tbl>
      <w:tblPr>
        <w:tblStyle w:val="1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8"/>
        <w:gridCol w:w="1829"/>
        <w:gridCol w:w="1725"/>
        <w:gridCol w:w="3157"/>
      </w:tblGrid>
      <w:tr w14:paraId="0C9F2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blHeader/>
        </w:trPr>
        <w:tc>
          <w:tcPr>
            <w:tcW w:w="1061" w:type="pct"/>
            <w:shd w:val="clear" w:color="000000" w:fill="F2F2F2"/>
            <w:noWrap/>
            <w:vAlign w:val="center"/>
          </w:tcPr>
          <w:p w14:paraId="7D3DDDA8">
            <w:pPr>
              <w:widowControl/>
              <w:spacing w:line="360" w:lineRule="auto"/>
              <w:jc w:val="center"/>
              <w:rPr>
                <w:rFonts w:hint="default" w:ascii="宋体" w:hAnsi="宋体" w:eastAsia="仿宋" w:cs="宋体"/>
                <w:kern w:val="0"/>
                <w:sz w:val="24"/>
                <w:szCs w:val="21"/>
                <w:highlight w:val="none"/>
                <w:lang w:val="en-US" w:eastAsia="zh-CN"/>
              </w:rPr>
            </w:pPr>
            <w:r>
              <w:rPr>
                <w:rFonts w:hint="eastAsia" w:ascii="宋体" w:hAnsi="宋体" w:eastAsia="仿宋" w:cs="宋体"/>
                <w:kern w:val="0"/>
                <w:sz w:val="24"/>
                <w:szCs w:val="21"/>
                <w:highlight w:val="none"/>
              </w:rPr>
              <w:t>序号</w:t>
            </w:r>
          </w:p>
        </w:tc>
        <w:tc>
          <w:tcPr>
            <w:tcW w:w="1073" w:type="pct"/>
            <w:shd w:val="clear" w:color="000000" w:fill="F2F2F2"/>
            <w:noWrap/>
            <w:vAlign w:val="center"/>
          </w:tcPr>
          <w:p w14:paraId="2A09E5B6">
            <w:pPr>
              <w:widowControl/>
              <w:spacing w:line="360" w:lineRule="auto"/>
              <w:jc w:val="center"/>
              <w:rPr>
                <w:rFonts w:hint="default" w:ascii="宋体" w:hAnsi="宋体" w:eastAsia="宋体" w:cs="宋体"/>
                <w:kern w:val="0"/>
                <w:sz w:val="24"/>
                <w:szCs w:val="21"/>
                <w:highlight w:val="none"/>
                <w:lang w:val="en-US" w:eastAsia="zh-CN"/>
              </w:rPr>
            </w:pPr>
            <w:r>
              <w:rPr>
                <w:rFonts w:hint="eastAsia" w:ascii="宋体" w:hAnsi="宋体" w:eastAsia="仿宋" w:cs="宋体"/>
                <w:kern w:val="0"/>
                <w:sz w:val="24"/>
                <w:szCs w:val="21"/>
                <w:highlight w:val="none"/>
                <w:lang w:val="en-US" w:eastAsia="zh-CN"/>
              </w:rPr>
              <w:t>采购标的</w:t>
            </w:r>
          </w:p>
        </w:tc>
        <w:tc>
          <w:tcPr>
            <w:tcW w:w="1012" w:type="pct"/>
            <w:shd w:val="clear" w:color="000000" w:fill="F2F2F2"/>
            <w:noWrap/>
            <w:vAlign w:val="center"/>
          </w:tcPr>
          <w:p w14:paraId="699827C9">
            <w:pPr>
              <w:widowControl/>
              <w:spacing w:line="360" w:lineRule="auto"/>
              <w:jc w:val="center"/>
              <w:rPr>
                <w:rFonts w:hint="default" w:ascii="宋体" w:hAnsi="宋体" w:eastAsia="仿宋" w:cs="宋体"/>
                <w:kern w:val="0"/>
                <w:sz w:val="24"/>
                <w:szCs w:val="21"/>
                <w:highlight w:val="none"/>
                <w:lang w:val="en-US" w:eastAsia="zh-CN"/>
              </w:rPr>
            </w:pPr>
            <w:r>
              <w:rPr>
                <w:rFonts w:hint="eastAsia" w:ascii="宋体" w:hAnsi="宋体" w:eastAsia="仿宋" w:cs="宋体"/>
                <w:kern w:val="0"/>
                <w:sz w:val="24"/>
                <w:szCs w:val="21"/>
                <w:highlight w:val="none"/>
                <w:lang w:val="en-US" w:eastAsia="zh-CN"/>
              </w:rPr>
              <w:t>数量（单位）</w:t>
            </w:r>
          </w:p>
        </w:tc>
        <w:tc>
          <w:tcPr>
            <w:tcW w:w="1852" w:type="pct"/>
            <w:shd w:val="clear" w:color="000000" w:fill="F2F2F2"/>
            <w:noWrap/>
            <w:vAlign w:val="center"/>
          </w:tcPr>
          <w:p w14:paraId="31930491">
            <w:pPr>
              <w:widowControl/>
              <w:spacing w:line="360" w:lineRule="auto"/>
              <w:jc w:val="center"/>
              <w:rPr>
                <w:rFonts w:hint="default" w:ascii="宋体" w:hAnsi="宋体" w:eastAsia="仿宋" w:cs="宋体"/>
                <w:kern w:val="0"/>
                <w:sz w:val="24"/>
                <w:szCs w:val="21"/>
                <w:highlight w:val="none"/>
                <w:lang w:val="en-US" w:eastAsia="zh-CN"/>
              </w:rPr>
            </w:pPr>
            <w:r>
              <w:rPr>
                <w:rFonts w:hint="eastAsia" w:ascii="宋体" w:hAnsi="宋体" w:eastAsia="仿宋" w:cs="宋体"/>
                <w:kern w:val="0"/>
                <w:sz w:val="24"/>
                <w:szCs w:val="21"/>
                <w:highlight w:val="none"/>
                <w:lang w:val="en-US" w:eastAsia="zh-CN"/>
              </w:rPr>
              <w:t>技术要求</w:t>
            </w:r>
          </w:p>
        </w:tc>
      </w:tr>
      <w:tr w14:paraId="2C6F2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1061" w:type="pct"/>
            <w:noWrap/>
            <w:vAlign w:val="center"/>
          </w:tcPr>
          <w:p w14:paraId="3FB92292">
            <w:pPr>
              <w:widowControl/>
              <w:spacing w:line="360" w:lineRule="auto"/>
              <w:jc w:val="center"/>
              <w:rPr>
                <w:rFonts w:hint="eastAsia" w:ascii="宋体" w:hAnsi="宋体" w:eastAsia="仿宋" w:cs="宋体"/>
                <w:kern w:val="0"/>
                <w:sz w:val="24"/>
                <w:szCs w:val="21"/>
                <w:highlight w:val="none"/>
                <w:lang w:val="en-US" w:eastAsia="zh-CN"/>
              </w:rPr>
            </w:pPr>
            <w:r>
              <w:rPr>
                <w:rFonts w:hint="eastAsia" w:ascii="宋体" w:hAnsi="宋体" w:eastAsia="仿宋" w:cs="宋体"/>
                <w:kern w:val="0"/>
                <w:sz w:val="24"/>
                <w:szCs w:val="21"/>
                <w:highlight w:val="none"/>
                <w:lang w:val="en-US" w:eastAsia="zh-CN"/>
              </w:rPr>
              <w:t>1</w:t>
            </w:r>
          </w:p>
        </w:tc>
        <w:tc>
          <w:tcPr>
            <w:tcW w:w="1829" w:type="dxa"/>
            <w:vAlign w:val="center"/>
          </w:tcPr>
          <w:p w14:paraId="03AC7A27">
            <w:pPr>
              <w:widowControl/>
              <w:spacing w:line="360" w:lineRule="auto"/>
              <w:jc w:val="center"/>
              <w:rPr>
                <w:rFonts w:hint="default" w:ascii="宋体" w:hAnsi="宋体" w:eastAsia="仿宋" w:cs="宋体"/>
                <w:kern w:val="0"/>
                <w:sz w:val="24"/>
                <w:szCs w:val="21"/>
                <w:highlight w:val="none"/>
                <w:lang w:val="en-US" w:eastAsia="zh-CN"/>
              </w:rPr>
            </w:pPr>
            <w:r>
              <w:rPr>
                <w:rFonts w:hint="eastAsia" w:ascii="宋体" w:hAnsi="宋体" w:eastAsia="仿宋" w:cs="宋体"/>
                <w:kern w:val="0"/>
                <w:sz w:val="24"/>
                <w:szCs w:val="21"/>
                <w:highlight w:val="none"/>
                <w:lang w:val="en-US" w:eastAsia="zh-CN"/>
              </w:rPr>
              <w:t>茶叶采购</w:t>
            </w:r>
          </w:p>
        </w:tc>
        <w:tc>
          <w:tcPr>
            <w:tcW w:w="1725" w:type="dxa"/>
            <w:vAlign w:val="center"/>
          </w:tcPr>
          <w:p w14:paraId="154024DE">
            <w:pPr>
              <w:widowControl/>
              <w:spacing w:line="360" w:lineRule="auto"/>
              <w:jc w:val="center"/>
              <w:rPr>
                <w:rFonts w:hint="default" w:ascii="宋体" w:hAnsi="宋体" w:eastAsia="仿宋" w:cs="宋体"/>
                <w:kern w:val="0"/>
                <w:sz w:val="24"/>
                <w:szCs w:val="21"/>
                <w:highlight w:val="none"/>
                <w:lang w:val="en-US" w:eastAsia="zh-CN"/>
              </w:rPr>
            </w:pPr>
            <w:r>
              <w:rPr>
                <w:rFonts w:hint="eastAsia" w:ascii="宋体" w:hAnsi="宋体" w:eastAsia="仿宋" w:cs="宋体"/>
                <w:kern w:val="0"/>
                <w:sz w:val="24"/>
                <w:szCs w:val="21"/>
                <w:highlight w:val="none"/>
                <w:lang w:val="en-US" w:eastAsia="zh-CN"/>
              </w:rPr>
              <w:t>1项</w:t>
            </w:r>
          </w:p>
        </w:tc>
        <w:tc>
          <w:tcPr>
            <w:tcW w:w="3157" w:type="dxa"/>
            <w:vAlign w:val="center"/>
          </w:tcPr>
          <w:p w14:paraId="3D16F775">
            <w:pPr>
              <w:widowControl/>
              <w:spacing w:line="360" w:lineRule="auto"/>
              <w:jc w:val="center"/>
              <w:rPr>
                <w:rFonts w:hint="default" w:ascii="宋体" w:hAnsi="宋体" w:eastAsia="宋体" w:cs="宋体"/>
                <w:kern w:val="0"/>
                <w:sz w:val="24"/>
                <w:szCs w:val="21"/>
                <w:highlight w:val="none"/>
                <w:lang w:val="en-US" w:eastAsia="zh-CN"/>
              </w:rPr>
            </w:pPr>
            <w:r>
              <w:rPr>
                <w:rFonts w:hint="eastAsia" w:ascii="宋体" w:hAnsi="宋体" w:eastAsia="仿宋" w:cs="宋体"/>
                <w:kern w:val="0"/>
                <w:sz w:val="24"/>
                <w:szCs w:val="21"/>
                <w:highlight w:val="none"/>
                <w:lang w:val="en-US" w:eastAsia="zh-CN"/>
              </w:rPr>
              <w:t>以招标文件第五部分采购需求书要求为准。</w:t>
            </w:r>
          </w:p>
        </w:tc>
      </w:tr>
    </w:tbl>
    <w:p w14:paraId="1BC3CA31">
      <w:pPr>
        <w:spacing w:line="360" w:lineRule="auto"/>
        <w:ind w:firstLine="480" w:firstLineChars="20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预估规模：</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240</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万</w:t>
      </w:r>
      <w:r>
        <w:rPr>
          <w:rFonts w:hint="eastAsia" w:ascii="仿宋" w:hAnsi="仿宋" w:eastAsia="仿宋" w:cs="仿宋"/>
          <w:sz w:val="24"/>
          <w:szCs w:val="24"/>
          <w:highlight w:val="none"/>
        </w:rPr>
        <w:t>元（含税）</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其中办公用茶19.5万元（含税），营销用茶220.5万元（含税）</w:t>
      </w:r>
      <w:r>
        <w:rPr>
          <w:rFonts w:hint="eastAsia" w:ascii="宋体" w:hAnsi="宋体" w:eastAsia="仿宋" w:cs="宋体"/>
          <w:sz w:val="24"/>
          <w:szCs w:val="21"/>
          <w:highlight w:val="none"/>
          <w:lang w:eastAsia="zh-CN"/>
        </w:rPr>
        <w:t>。</w:t>
      </w:r>
    </w:p>
    <w:p w14:paraId="79DB55AC">
      <w:pPr>
        <w:spacing w:line="360" w:lineRule="auto"/>
        <w:ind w:firstLine="480" w:firstLineChars="20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最高投标限价：最高投标</w:t>
      </w:r>
      <w:r>
        <w:rPr>
          <w:rFonts w:hint="eastAsia" w:ascii="仿宋" w:hAnsi="仿宋" w:eastAsia="仿宋" w:cs="仿宋"/>
          <w:color w:val="FF0000"/>
          <w:sz w:val="24"/>
          <w:szCs w:val="24"/>
          <w:highlight w:val="none"/>
          <w:lang w:val="en-US" w:eastAsia="zh-Hans"/>
        </w:rPr>
        <w:t>折扣</w:t>
      </w:r>
      <w:r>
        <w:rPr>
          <w:rFonts w:hint="eastAsia" w:ascii="仿宋" w:hAnsi="仿宋" w:eastAsia="仿宋" w:cs="仿宋"/>
          <w:sz w:val="24"/>
          <w:szCs w:val="24"/>
          <w:highlight w:val="none"/>
        </w:rPr>
        <w:t>限价为</w:t>
      </w:r>
      <w:r>
        <w:rPr>
          <w:rFonts w:hint="eastAsia" w:ascii="仿宋" w:hAnsi="仿宋" w:eastAsia="仿宋" w:cs="仿宋"/>
          <w:color w:val="FF0000"/>
          <w:sz w:val="24"/>
          <w:szCs w:val="24"/>
          <w:highlight w:val="none"/>
        </w:rPr>
        <w:t>【</w:t>
      </w:r>
      <w:r>
        <w:rPr>
          <w:rFonts w:hint="eastAsia" w:ascii="仿宋" w:hAnsi="仿宋" w:eastAsia="仿宋" w:cs="仿宋"/>
          <w:color w:val="FF0000"/>
          <w:sz w:val="24"/>
          <w:szCs w:val="24"/>
          <w:highlight w:val="none"/>
          <w:lang w:val="en-US" w:eastAsia="zh-CN"/>
        </w:rPr>
        <w:t>100</w:t>
      </w:r>
      <w:r>
        <w:rPr>
          <w:rFonts w:hint="eastAsia" w:ascii="仿宋" w:hAnsi="仿宋" w:eastAsia="仿宋" w:cs="仿宋"/>
          <w:color w:val="FF0000"/>
          <w:sz w:val="24"/>
          <w:szCs w:val="24"/>
          <w:highlight w:val="none"/>
        </w:rPr>
        <w:t>】%</w:t>
      </w:r>
      <w:r>
        <w:rPr>
          <w:rFonts w:hint="eastAsia" w:ascii="仿宋" w:hAnsi="仿宋" w:eastAsia="仿宋" w:cs="仿宋"/>
          <w:color w:val="FF0000"/>
          <w:sz w:val="24"/>
          <w:szCs w:val="24"/>
          <w:highlight w:val="none"/>
          <w:lang w:eastAsia="zh-CN"/>
        </w:rPr>
        <w:t>，</w:t>
      </w:r>
      <w:r>
        <w:rPr>
          <w:rFonts w:hint="eastAsia" w:ascii="仿宋" w:hAnsi="仿宋" w:eastAsia="仿宋" w:cs="仿宋"/>
          <w:sz w:val="24"/>
          <w:szCs w:val="24"/>
          <w:highlight w:val="none"/>
        </w:rPr>
        <w:t>投标人投标报价高于最高投标</w:t>
      </w:r>
      <w:r>
        <w:rPr>
          <w:rFonts w:hint="eastAsia" w:ascii="仿宋" w:hAnsi="仿宋" w:eastAsia="仿宋" w:cs="仿宋"/>
          <w:sz w:val="24"/>
          <w:szCs w:val="24"/>
          <w:highlight w:val="none"/>
          <w:lang w:val="en-US" w:eastAsia="zh-CN"/>
        </w:rPr>
        <w:t>折扣</w:t>
      </w:r>
      <w:r>
        <w:rPr>
          <w:rFonts w:hint="eastAsia" w:ascii="仿宋" w:hAnsi="仿宋" w:eastAsia="仿宋" w:cs="仿宋"/>
          <w:sz w:val="24"/>
          <w:szCs w:val="24"/>
          <w:highlight w:val="none"/>
        </w:rPr>
        <w:t>限价的，其投标将被否决。</w:t>
      </w:r>
    </w:p>
    <w:p w14:paraId="01BDD3CD">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标包划分：本项目不划分标包</w:t>
      </w:r>
      <w:r>
        <w:rPr>
          <w:rFonts w:hint="eastAsia" w:ascii="仿宋" w:hAnsi="仿宋" w:eastAsia="仿宋" w:cs="仿宋"/>
          <w:sz w:val="24"/>
          <w:szCs w:val="24"/>
          <w:highlight w:val="none"/>
          <w:lang w:val="en-US" w:eastAsia="zh-CN"/>
        </w:rPr>
        <w:t>。</w:t>
      </w:r>
    </w:p>
    <w:p w14:paraId="77895286">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响应缺漏项处理：投标人须对本项目所有货物及服务进行响应及报价，否则其投标将被拒绝。</w:t>
      </w:r>
    </w:p>
    <w:p w14:paraId="17E11E6E">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中标人数量：</w:t>
      </w:r>
    </w:p>
    <w:p w14:paraId="2BE200CA">
      <w:pPr>
        <w:spacing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当初步评审后有效投标人数量≥【12】个时，中标候选人数量为【6】个，中标人数量为【6】个；</w:t>
      </w:r>
    </w:p>
    <w:p w14:paraId="74C24612">
      <w:pPr>
        <w:spacing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当初步评审后有效投标人数量≥【10】个时，中标候选人数量为【5】个，中标人数量为【5】个；</w:t>
      </w:r>
    </w:p>
    <w:p w14:paraId="714F5C70">
      <w:pPr>
        <w:spacing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当初步评审后有效投标人数量≥【8】个时，中标候选人数量为【4】个，中标人数量为【4】个。</w:t>
      </w:r>
    </w:p>
    <w:p w14:paraId="77A44C18">
      <w:pPr>
        <w:spacing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注：有效应标投标人和选取投标人比例为2:1。</w:t>
      </w:r>
    </w:p>
    <w:p w14:paraId="6DB2729A">
      <w:pPr>
        <w:spacing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如有效应标投标人为或超过12家选取排名前6家（综合评分第一名投标人承接项目预算金额的22.5%约54万，第二名投标人承接19.5%约46.8万，第三名投标人承接17.5%约42万,第四名投标人承接15.5%约37.2万,第五名投标人承接13.5%约32.4万,第六名投标人承接11.5%约27.6万）；</w:t>
      </w:r>
    </w:p>
    <w:p w14:paraId="3052415B">
      <w:pPr>
        <w:spacing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有效应标投标人为10-11家选取排名前5家（综合评分第一名投标人承接项目预算金额的25%约60万，第二名投标人承接22%约52.8万，第三名投标人承接20%约48万,第四名投标人承接18%约43.2万,第五名投标人承接15%约36万）；</w:t>
      </w:r>
    </w:p>
    <w:p w14:paraId="092CD87B">
      <w:pPr>
        <w:spacing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3）有效应标投标人为8-9家选取排名前4家（综合评分第一名投标人承接项目预算金额的29%约69.6万，第二名投标人承接26%约62.4万，第三名投标人承接24%约57.6万,第四名投标人承接21%约50.4万）；</w:t>
      </w:r>
    </w:p>
    <w:p w14:paraId="077D67F6">
      <w:pPr>
        <w:spacing w:line="360" w:lineRule="auto"/>
        <w:ind w:firstLine="480" w:firstLineChars="200"/>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4）有效应标投标人数量应不少于8家</w:t>
      </w:r>
      <w:r>
        <w:rPr>
          <w:rFonts w:hint="eastAsia" w:ascii="宋体" w:hAnsi="宋体" w:eastAsia="仿宋" w:cs="Times New Roman"/>
          <w:sz w:val="24"/>
          <w:szCs w:val="21"/>
          <w:highlight w:val="none"/>
        </w:rPr>
        <w:t>。</w:t>
      </w:r>
    </w:p>
    <w:p w14:paraId="4AFAA210">
      <w:pPr>
        <w:spacing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（6）服务期：</w:t>
      </w:r>
      <w:r>
        <w:rPr>
          <w:rFonts w:hint="eastAsia" w:ascii="仿宋" w:hAnsi="仿宋" w:eastAsia="仿宋" w:cs="仿宋"/>
          <w:color w:val="auto"/>
          <w:sz w:val="24"/>
          <w:szCs w:val="24"/>
          <w:highlight w:val="none"/>
          <w:lang w:eastAsia="zh-CN"/>
        </w:rPr>
        <w:t>一年，</w:t>
      </w:r>
      <w:r>
        <w:rPr>
          <w:rFonts w:hint="eastAsia" w:ascii="仿宋" w:hAnsi="仿宋" w:eastAsia="仿宋" w:cs="仿宋"/>
          <w:sz w:val="24"/>
          <w:szCs w:val="24"/>
          <w:highlight w:val="none"/>
        </w:rPr>
        <w:t>最终合同金额与期限以实际采购结果为准</w:t>
      </w:r>
      <w:r>
        <w:rPr>
          <w:rFonts w:hint="eastAsia" w:ascii="仿宋" w:hAnsi="仿宋" w:eastAsia="仿宋" w:cs="仿宋"/>
          <w:sz w:val="24"/>
          <w:szCs w:val="24"/>
          <w:highlight w:val="none"/>
          <w:lang w:val="en-US" w:eastAsia="zh-CN"/>
        </w:rPr>
        <w:t>。</w:t>
      </w:r>
    </w:p>
    <w:p w14:paraId="49699536">
      <w:pPr>
        <w:spacing w:line="360" w:lineRule="auto"/>
        <w:ind w:firstLine="480" w:firstLineChars="200"/>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（7）交货地点：招标人指定地点。</w:t>
      </w:r>
    </w:p>
    <w:p w14:paraId="195C266B">
      <w:pPr>
        <w:widowControl w:val="0"/>
        <w:spacing w:line="360" w:lineRule="auto"/>
        <w:ind w:firstLine="480" w:firstLineChars="200"/>
        <w:jc w:val="left"/>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（8）续签管理：不涉及。</w:t>
      </w:r>
    </w:p>
    <w:p w14:paraId="4F0F0F08">
      <w:pPr>
        <w:widowControl w:val="0"/>
        <w:spacing w:line="360" w:lineRule="auto"/>
        <w:ind w:firstLine="480" w:firstLineChars="200"/>
        <w:jc w:val="left"/>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4"/>
          <w:szCs w:val="24"/>
          <w:highlight w:val="none"/>
          <w:lang w:val="en-US" w:eastAsia="zh-CN" w:bidi="ar-SA"/>
        </w:rPr>
        <w:t>（9）投标保证金：【6020元】</w:t>
      </w:r>
    </w:p>
    <w:p w14:paraId="16DA1248">
      <w:pPr>
        <w:numPr>
          <w:ilvl w:val="0"/>
          <w:numId w:val="2"/>
        </w:numPr>
        <w:spacing w:line="360" w:lineRule="auto"/>
        <w:ind w:left="60" w:leftChars="0" w:firstLineChars="0"/>
        <w:rPr>
          <w:rFonts w:ascii="仿宋" w:hAnsi="仿宋" w:eastAsia="仿宋" w:cs="Times New Roman"/>
          <w:b/>
          <w:bCs/>
          <w:sz w:val="24"/>
          <w:szCs w:val="21"/>
          <w:highlight w:val="none"/>
        </w:rPr>
      </w:pPr>
      <w:r>
        <w:rPr>
          <w:rFonts w:hint="eastAsia" w:ascii="仿宋" w:hAnsi="仿宋" w:eastAsia="仿宋" w:cs="Times New Roman"/>
          <w:b/>
          <w:bCs/>
          <w:sz w:val="24"/>
          <w:szCs w:val="21"/>
          <w:highlight w:val="none"/>
        </w:rPr>
        <w:t>采购</w:t>
      </w:r>
      <w:r>
        <w:rPr>
          <w:rFonts w:ascii="仿宋" w:hAnsi="仿宋" w:eastAsia="仿宋" w:cs="Times New Roman"/>
          <w:b/>
          <w:bCs/>
          <w:sz w:val="24"/>
          <w:szCs w:val="21"/>
          <w:highlight w:val="none"/>
        </w:rPr>
        <w:t>流程：</w:t>
      </w:r>
    </w:p>
    <w:p w14:paraId="31D43BAB">
      <w:pPr>
        <w:spacing w:line="360" w:lineRule="auto"/>
        <w:ind w:firstLine="480" w:firstLineChars="200"/>
        <w:rPr>
          <w:rFonts w:ascii="仿宋" w:hAnsi="仿宋" w:eastAsia="仿宋" w:cs="Times New Roman"/>
          <w:bCs/>
          <w:sz w:val="24"/>
          <w:szCs w:val="21"/>
          <w:highlight w:val="none"/>
        </w:rPr>
      </w:pPr>
      <w:r>
        <w:rPr>
          <w:rFonts w:hint="eastAsia" w:ascii="仿宋" w:hAnsi="仿宋" w:eastAsia="仿宋" w:cs="Times New Roman"/>
          <w:bCs/>
          <w:sz w:val="24"/>
          <w:szCs w:val="21"/>
          <w:highlight w:val="none"/>
        </w:rPr>
        <w:t xml:space="preserve">    </w:t>
      </w:r>
      <w:r>
        <w:rPr>
          <w:rFonts w:hint="eastAsia" w:ascii="仿宋" w:hAnsi="仿宋" w:eastAsia="仿宋" w:cs="仿宋"/>
          <w:kern w:val="2"/>
          <w:sz w:val="24"/>
          <w:szCs w:val="21"/>
          <w:highlight w:val="none"/>
          <w:lang w:val="en-US" w:eastAsia="zh-CN" w:bidi="ar-SA"/>
        </w:rPr>
        <w:t>本项目将进行资格后审，资格审查标准和内容见招标文件第三部分“评标办法”，凡未通过资格后审的投标人，其应答将被否决。</w:t>
      </w:r>
    </w:p>
    <w:p w14:paraId="067845ED">
      <w:pPr>
        <w:numPr>
          <w:ilvl w:val="0"/>
          <w:numId w:val="0"/>
        </w:numPr>
        <w:spacing w:line="360" w:lineRule="auto"/>
        <w:ind w:left="0" w:leftChars="0" w:firstLine="0" w:firstLineChars="0"/>
        <w:outlineLvl w:val="1"/>
        <w:rPr>
          <w:rFonts w:ascii="仿宋" w:hAnsi="仿宋" w:eastAsia="仿宋" w:cs="仿宋"/>
          <w:b/>
          <w:bCs/>
          <w:sz w:val="24"/>
          <w:szCs w:val="21"/>
          <w:highlight w:val="none"/>
        </w:rPr>
      </w:pPr>
      <w:bookmarkStart w:id="18" w:name="_Toc10547"/>
      <w:r>
        <w:rPr>
          <w:rFonts w:hint="eastAsia" w:ascii="仿宋" w:hAnsi="仿宋" w:eastAsia="仿宋" w:cs="仿宋"/>
          <w:b/>
          <w:bCs/>
          <w:kern w:val="2"/>
          <w:sz w:val="24"/>
          <w:szCs w:val="21"/>
          <w:highlight w:val="none"/>
          <w:lang w:val="en-US" w:eastAsia="zh-CN" w:bidi="ar-SA"/>
        </w:rPr>
        <w:t>四、</w:t>
      </w:r>
      <w:r>
        <w:rPr>
          <w:rFonts w:hint="eastAsia" w:ascii="仿宋" w:hAnsi="仿宋" w:eastAsia="仿宋" w:cs="仿宋"/>
          <w:b/>
          <w:bCs/>
          <w:sz w:val="24"/>
          <w:szCs w:val="21"/>
          <w:highlight w:val="none"/>
        </w:rPr>
        <w:t>合格投标人的基本资质要求（须同时满足）：</w:t>
      </w:r>
      <w:bookmarkEnd w:id="13"/>
      <w:bookmarkEnd w:id="14"/>
      <w:bookmarkEnd w:id="15"/>
      <w:bookmarkEnd w:id="16"/>
      <w:bookmarkEnd w:id="17"/>
      <w:bookmarkEnd w:id="18"/>
      <w:bookmarkStart w:id="19" w:name="_Toc150933573"/>
      <w:bookmarkStart w:id="20" w:name="_Toc149230389"/>
      <w:bookmarkStart w:id="21" w:name="_Toc108796135"/>
      <w:bookmarkStart w:id="22" w:name="_Toc31641"/>
      <w:bookmarkStart w:id="23" w:name="_Toc5886"/>
    </w:p>
    <w:p w14:paraId="4D3B9F12">
      <w:pPr>
        <w:numPr>
          <w:ilvl w:val="0"/>
          <w:numId w:val="3"/>
        </w:numPr>
        <w:tabs>
          <w:tab w:val="left" w:pos="0"/>
          <w:tab w:val="left" w:pos="1260"/>
          <w:tab w:val="left" w:pos="1440"/>
        </w:tabs>
        <w:spacing w:line="360" w:lineRule="auto"/>
        <w:ind w:left="0" w:firstLine="420"/>
        <w:rPr>
          <w:rFonts w:ascii="仿宋" w:hAnsi="仿宋" w:eastAsia="仿宋" w:cs="仿宋"/>
          <w:sz w:val="24"/>
          <w:szCs w:val="21"/>
          <w:highlight w:val="none"/>
        </w:rPr>
      </w:pPr>
      <w:r>
        <w:rPr>
          <w:rFonts w:hint="eastAsia" w:ascii="仿宋" w:hAnsi="仿宋" w:eastAsia="仿宋" w:cs="宋体"/>
          <w:b/>
          <w:bCs/>
          <w:sz w:val="24"/>
          <w:szCs w:val="21"/>
          <w:highlight w:val="none"/>
        </w:rPr>
        <w:t>投标人及所报服务</w:t>
      </w:r>
      <w:r>
        <w:rPr>
          <w:rFonts w:hint="eastAsia" w:ascii="仿宋" w:hAnsi="仿宋" w:eastAsia="仿宋" w:cs="Times New Roman"/>
          <w:b/>
          <w:bCs/>
          <w:sz w:val="24"/>
          <w:szCs w:val="21"/>
          <w:highlight w:val="none"/>
        </w:rPr>
        <w:t>的资质要求如下：</w:t>
      </w:r>
    </w:p>
    <w:p w14:paraId="393D4843">
      <w:pPr>
        <w:widowControl w:val="0"/>
        <w:numPr>
          <w:ilvl w:val="0"/>
          <w:numId w:val="4"/>
        </w:numPr>
        <w:autoSpaceDE w:val="0"/>
        <w:spacing w:beforeAutospacing="0" w:afterAutospacing="0" w:line="360" w:lineRule="auto"/>
        <w:ind w:leftChars="-25" w:firstLine="964" w:firstLineChars="400"/>
        <w:jc w:val="left"/>
        <w:rPr>
          <w:rFonts w:hint="eastAsia" w:ascii="仿宋" w:hAnsi="仿宋" w:eastAsia="仿宋" w:cs="仿宋"/>
          <w:kern w:val="0"/>
          <w:sz w:val="24"/>
          <w:szCs w:val="24"/>
          <w:highlight w:val="none"/>
          <w:lang w:val="en-US" w:eastAsia="zh-CN" w:bidi="ar-SA"/>
        </w:rPr>
      </w:pPr>
      <w:r>
        <w:rPr>
          <w:rFonts w:hint="eastAsia" w:ascii="仿宋" w:hAnsi="仿宋" w:eastAsia="仿宋" w:cs="仿宋"/>
          <w:b/>
          <w:bCs w:val="0"/>
          <w:kern w:val="2"/>
          <w:sz w:val="24"/>
          <w:szCs w:val="24"/>
          <w:highlight w:val="none"/>
          <w:shd w:val="clear" w:color="auto" w:fill="FFFFFF"/>
          <w:lang w:val="en-US" w:eastAsia="zh-CN" w:bidi="ar-SA"/>
        </w:rPr>
        <w:t>企业能力：</w:t>
      </w:r>
      <w:r>
        <w:rPr>
          <w:rFonts w:hint="eastAsia" w:ascii="仿宋" w:hAnsi="仿宋" w:eastAsia="仿宋" w:cs="仿宋"/>
          <w:bCs/>
          <w:kern w:val="2"/>
          <w:sz w:val="24"/>
          <w:szCs w:val="24"/>
          <w:highlight w:val="none"/>
          <w:shd w:val="clear" w:color="auto" w:fill="FFFFFF"/>
          <w:lang w:val="en-US" w:eastAsia="zh-CN" w:bidi="ar-SA"/>
        </w:rPr>
        <w:t>投标人须具有独立承担民事责任的能力，遵守法律、法规，具有良好的商业信誉和健全的财务会计制度</w:t>
      </w:r>
      <w:r>
        <w:rPr>
          <w:rFonts w:hint="eastAsia" w:ascii="仿宋" w:hAnsi="仿宋" w:eastAsia="仿宋" w:cs="仿宋"/>
          <w:kern w:val="0"/>
          <w:sz w:val="24"/>
          <w:szCs w:val="24"/>
          <w:highlight w:val="none"/>
          <w:lang w:val="en-US" w:eastAsia="zh-CN" w:bidi="ar-SA"/>
        </w:rPr>
        <w:t>。</w:t>
      </w:r>
    </w:p>
    <w:p w14:paraId="0F024A77">
      <w:pPr>
        <w:widowControl w:val="0"/>
        <w:numPr>
          <w:ilvl w:val="0"/>
          <w:numId w:val="4"/>
        </w:numPr>
        <w:autoSpaceDE w:val="0"/>
        <w:spacing w:beforeAutospacing="0" w:afterAutospacing="0" w:line="360" w:lineRule="auto"/>
        <w:ind w:leftChars="-25" w:firstLine="960" w:firstLineChars="400"/>
        <w:jc w:val="left"/>
        <w:rPr>
          <w:rFonts w:hint="eastAsia" w:ascii="仿宋" w:hAnsi="仿宋" w:eastAsia="仿宋" w:cs="仿宋"/>
          <w:kern w:val="0"/>
          <w:sz w:val="24"/>
          <w:szCs w:val="24"/>
          <w:highlight w:val="none"/>
          <w:lang w:val="en-US" w:eastAsia="zh-CN" w:bidi="ar-SA"/>
        </w:rPr>
      </w:pPr>
      <w:r>
        <w:rPr>
          <w:rFonts w:hint="eastAsia" w:ascii="仿宋" w:hAnsi="仿宋" w:eastAsia="仿宋" w:cs="仿宋"/>
          <w:bCs/>
          <w:kern w:val="2"/>
          <w:sz w:val="24"/>
          <w:szCs w:val="24"/>
          <w:highlight w:val="none"/>
          <w:shd w:val="clear" w:color="auto" w:fill="FFFFFF"/>
          <w:lang w:val="en-US" w:eastAsia="zh-CN" w:bidi="ar-SA"/>
        </w:rPr>
        <w:t>投标人应具备相关资质，且经营状况良好，在经营活动中无违法和重大违约记录，应具备有效的《食品生产许可证》或《食品经营许可证》。</w:t>
      </w:r>
    </w:p>
    <w:p w14:paraId="16D28F6D">
      <w:pPr>
        <w:widowControl w:val="0"/>
        <w:numPr>
          <w:ilvl w:val="0"/>
          <w:numId w:val="4"/>
        </w:numPr>
        <w:autoSpaceDE w:val="0"/>
        <w:spacing w:beforeAutospacing="0" w:afterAutospacing="0" w:line="360" w:lineRule="auto"/>
        <w:ind w:left="-53" w:leftChars="-25" w:firstLine="960" w:firstLineChars="400"/>
        <w:jc w:val="left"/>
        <w:rPr>
          <w:rFonts w:hint="eastAsia" w:ascii="仿宋" w:hAnsi="仿宋" w:eastAsia="仿宋" w:cs="仿宋"/>
          <w:bCs/>
          <w:kern w:val="2"/>
          <w:sz w:val="24"/>
          <w:szCs w:val="24"/>
          <w:highlight w:val="none"/>
          <w:shd w:val="clear" w:color="auto" w:fill="FFFFFF"/>
          <w:lang w:val="en-US" w:eastAsia="zh-CN" w:bidi="ar-SA"/>
        </w:rPr>
      </w:pPr>
      <w:r>
        <w:rPr>
          <w:rFonts w:hint="eastAsia" w:ascii="仿宋" w:hAnsi="仿宋" w:eastAsia="仿宋" w:cs="仿宋"/>
          <w:bCs/>
          <w:kern w:val="2"/>
          <w:sz w:val="24"/>
          <w:szCs w:val="24"/>
          <w:highlight w:val="none"/>
          <w:shd w:val="clear" w:color="auto" w:fill="FFFFFF"/>
          <w:lang w:val="en-US" w:eastAsia="zh-CN" w:bidi="ar-SA"/>
        </w:rPr>
        <w:t>投标人在近三年内不存在围串标等采购违规行为处罚记录。</w:t>
      </w:r>
    </w:p>
    <w:p w14:paraId="7B9BB6F5">
      <w:pPr>
        <w:widowControl w:val="0"/>
        <w:numPr>
          <w:ilvl w:val="0"/>
          <w:numId w:val="4"/>
        </w:numPr>
        <w:autoSpaceDE w:val="0"/>
        <w:spacing w:beforeAutospacing="0" w:afterAutospacing="0" w:line="360" w:lineRule="auto"/>
        <w:ind w:left="-53" w:leftChars="-25" w:firstLine="960" w:firstLineChars="400"/>
        <w:jc w:val="left"/>
        <w:rPr>
          <w:rFonts w:hint="eastAsia" w:ascii="仿宋" w:hAnsi="仿宋" w:eastAsia="仿宋" w:cs="仿宋"/>
          <w:kern w:val="0"/>
          <w:sz w:val="24"/>
          <w:szCs w:val="24"/>
          <w:highlight w:val="none"/>
          <w:lang w:val="en-US" w:eastAsia="zh-CN" w:bidi="ar-SA"/>
        </w:rPr>
      </w:pPr>
      <w:r>
        <w:rPr>
          <w:rFonts w:hint="eastAsia" w:ascii="仿宋" w:hAnsi="仿宋" w:eastAsia="仿宋" w:cs="仿宋"/>
          <w:bCs/>
          <w:kern w:val="2"/>
          <w:sz w:val="24"/>
          <w:szCs w:val="24"/>
          <w:highlight w:val="none"/>
          <w:shd w:val="clear" w:color="auto" w:fill="FFFFFF"/>
          <w:lang w:val="en-US" w:eastAsia="zh-CN" w:bidi="ar-SA"/>
        </w:rPr>
        <w:t>投标人不得为本项目（标段）的前期准备或者监理工作提供设计、咨询服务的任何法人及其任何附属机构（单位）；投标人不得为本项目（标段）的监理单位、招标代理机构、造价咨询单位、代建单位或全过程工程咨询单位。</w:t>
      </w:r>
    </w:p>
    <w:p w14:paraId="1B9144F7">
      <w:pPr>
        <w:numPr>
          <w:ilvl w:val="0"/>
          <w:numId w:val="3"/>
        </w:numPr>
        <w:tabs>
          <w:tab w:val="left" w:pos="0"/>
          <w:tab w:val="left" w:pos="1260"/>
          <w:tab w:val="left" w:pos="1440"/>
        </w:tabs>
        <w:spacing w:line="360" w:lineRule="auto"/>
        <w:ind w:left="0" w:firstLine="420"/>
        <w:rPr>
          <w:rFonts w:ascii="仿宋" w:hAnsi="仿宋" w:eastAsia="仿宋" w:cs="仿宋"/>
          <w:sz w:val="24"/>
          <w:szCs w:val="21"/>
          <w:highlight w:val="none"/>
        </w:rPr>
      </w:pPr>
      <w:r>
        <w:rPr>
          <w:rFonts w:ascii="仿宋" w:hAnsi="仿宋" w:eastAsia="仿宋" w:cs="Times New Roman"/>
          <w:b/>
          <w:bCs/>
          <w:sz w:val="24"/>
          <w:szCs w:val="21"/>
          <w:highlight w:val="none"/>
        </w:rPr>
        <w:t>其他必须满足的要求：</w:t>
      </w:r>
    </w:p>
    <w:p w14:paraId="2B4D5B5E">
      <w:pPr>
        <w:numPr>
          <w:ilvl w:val="0"/>
          <w:numId w:val="0"/>
        </w:numPr>
        <w:spacing w:line="360" w:lineRule="auto"/>
        <w:ind w:leftChars="175" w:firstLine="482" w:firstLineChars="200"/>
        <w:rPr>
          <w:rFonts w:hint="eastAsia" w:ascii="仿宋" w:hAnsi="仿宋" w:eastAsia="仿宋" w:cs="仿宋"/>
          <w:sz w:val="24"/>
          <w:szCs w:val="21"/>
          <w:highlight w:val="none"/>
        </w:rPr>
      </w:pPr>
      <w:r>
        <w:rPr>
          <w:rFonts w:hint="eastAsia" w:ascii="仿宋" w:hAnsi="仿宋" w:eastAsia="仿宋" w:cs="仿宋"/>
          <w:b/>
          <w:bCs/>
          <w:sz w:val="24"/>
          <w:szCs w:val="21"/>
          <w:highlight w:val="none"/>
          <w:lang w:val="en-US" w:eastAsia="zh-CN"/>
        </w:rPr>
        <w:t>1.营业执照：</w:t>
      </w:r>
      <w:r>
        <w:rPr>
          <w:rFonts w:hint="eastAsia" w:ascii="仿宋" w:hAnsi="仿宋" w:eastAsia="仿宋" w:cs="仿宋"/>
          <w:bCs/>
          <w:kern w:val="2"/>
          <w:sz w:val="24"/>
          <w:szCs w:val="24"/>
          <w:highlight w:val="none"/>
          <w:shd w:val="clear" w:color="auto" w:fill="FFFFFF"/>
          <w:lang w:val="en-US" w:eastAsia="zh-CN" w:bidi="ar-SA"/>
        </w:rPr>
        <w:t>投标人</w:t>
      </w:r>
      <w:r>
        <w:rPr>
          <w:rFonts w:hint="eastAsia" w:ascii="仿宋" w:hAnsi="仿宋" w:eastAsia="仿宋" w:cs="仿宋"/>
          <w:sz w:val="24"/>
          <w:szCs w:val="21"/>
          <w:highlight w:val="none"/>
        </w:rPr>
        <w:t>应为中华人民共和国境内法律上和财务上独立的法人或依法登记注册的其他组织，合法运作并独立于招标人和招标代理机构，不得直接或间接地与招标人或其附属机构有任何关联。</w:t>
      </w:r>
    </w:p>
    <w:p w14:paraId="2D01B241">
      <w:pPr>
        <w:numPr>
          <w:ilvl w:val="0"/>
          <w:numId w:val="0"/>
        </w:numPr>
        <w:spacing w:line="360" w:lineRule="auto"/>
        <w:ind w:leftChars="175" w:firstLine="482" w:firstLineChars="200"/>
        <w:rPr>
          <w:rFonts w:hint="eastAsia" w:ascii="仿宋" w:hAnsi="仿宋" w:eastAsia="仿宋" w:cs="仿宋"/>
          <w:b/>
          <w:bCs/>
          <w:sz w:val="24"/>
          <w:szCs w:val="21"/>
          <w:highlight w:val="none"/>
          <w:lang w:val="en-US" w:eastAsia="zh-CN"/>
        </w:rPr>
      </w:pPr>
      <w:r>
        <w:rPr>
          <w:rFonts w:hint="eastAsia" w:ascii="仿宋" w:hAnsi="仿宋" w:eastAsia="仿宋" w:cs="仿宋"/>
          <w:b/>
          <w:bCs/>
          <w:sz w:val="24"/>
          <w:szCs w:val="21"/>
          <w:highlight w:val="none"/>
          <w:lang w:val="en-US" w:eastAsia="zh-CN"/>
        </w:rPr>
        <w:t>2.投标要求：</w:t>
      </w:r>
    </w:p>
    <w:p w14:paraId="22D6A9E5">
      <w:pPr>
        <w:numPr>
          <w:ilvl w:val="0"/>
          <w:numId w:val="0"/>
        </w:numPr>
        <w:spacing w:line="360" w:lineRule="auto"/>
        <w:ind w:leftChars="175" w:firstLine="480" w:firstLineChars="200"/>
        <w:rPr>
          <w:rFonts w:hint="eastAsia" w:ascii="仿宋" w:hAnsi="仿宋" w:eastAsia="仿宋" w:cs="仿宋"/>
          <w:sz w:val="24"/>
          <w:szCs w:val="21"/>
          <w:highlight w:val="none"/>
        </w:rPr>
      </w:pPr>
      <w:r>
        <w:rPr>
          <w:rFonts w:hint="eastAsia" w:ascii="仿宋" w:hAnsi="仿宋" w:eastAsia="仿宋" w:cs="仿宋"/>
          <w:sz w:val="24"/>
          <w:szCs w:val="21"/>
          <w:highlight w:val="none"/>
          <w:lang w:val="en-US" w:eastAsia="zh-CN"/>
        </w:rPr>
        <w:t>（1）</w:t>
      </w:r>
      <w:r>
        <w:rPr>
          <w:rFonts w:hint="eastAsia" w:ascii="仿宋" w:hAnsi="仿宋" w:eastAsia="仿宋" w:cs="仿宋"/>
          <w:sz w:val="24"/>
          <w:szCs w:val="21"/>
          <w:highlight w:val="none"/>
        </w:rPr>
        <w:t>投标人必须从招标代理机构获得招标文件并登记备案，否则不能参加本次招标。</w:t>
      </w:r>
      <w:bookmarkStart w:id="24" w:name="_Toc150933564"/>
    </w:p>
    <w:p w14:paraId="1E45E5AA">
      <w:pPr>
        <w:numPr>
          <w:ilvl w:val="0"/>
          <w:numId w:val="0"/>
        </w:numPr>
        <w:spacing w:line="360" w:lineRule="auto"/>
        <w:ind w:leftChars="175" w:firstLine="480" w:firstLineChars="200"/>
        <w:rPr>
          <w:rFonts w:hint="eastAsia" w:ascii="仿宋" w:hAnsi="仿宋" w:eastAsia="仿宋" w:cs="仿宋"/>
          <w:sz w:val="24"/>
          <w:szCs w:val="21"/>
          <w:highlight w:val="none"/>
          <w:lang w:val="en-US" w:eastAsia="zh-CN"/>
        </w:rPr>
      </w:pPr>
      <w:r>
        <w:rPr>
          <w:rFonts w:hint="eastAsia" w:ascii="仿宋" w:hAnsi="仿宋" w:eastAsia="仿宋" w:cs="仿宋"/>
          <w:sz w:val="24"/>
          <w:szCs w:val="21"/>
          <w:highlight w:val="none"/>
          <w:lang w:eastAsia="zh-CN"/>
        </w:rPr>
        <w:t>（</w:t>
      </w:r>
      <w:r>
        <w:rPr>
          <w:rFonts w:hint="eastAsia" w:ascii="仿宋" w:hAnsi="仿宋" w:eastAsia="仿宋" w:cs="仿宋"/>
          <w:sz w:val="24"/>
          <w:szCs w:val="21"/>
          <w:highlight w:val="none"/>
          <w:lang w:val="en-US" w:eastAsia="zh-CN"/>
        </w:rPr>
        <w:t>2</w:t>
      </w:r>
      <w:r>
        <w:rPr>
          <w:rFonts w:hint="eastAsia" w:ascii="仿宋" w:hAnsi="仿宋" w:eastAsia="仿宋" w:cs="仿宋"/>
          <w:sz w:val="24"/>
          <w:szCs w:val="21"/>
          <w:highlight w:val="none"/>
          <w:lang w:eastAsia="zh-CN"/>
        </w:rPr>
        <w:t>）</w:t>
      </w:r>
      <w:r>
        <w:rPr>
          <w:rFonts w:hint="eastAsia" w:ascii="仿宋" w:hAnsi="仿宋" w:eastAsia="仿宋" w:cs="仿宋"/>
          <w:sz w:val="24"/>
          <w:szCs w:val="21"/>
          <w:highlight w:val="none"/>
          <w:lang w:val="en-US" w:eastAsia="zh-CN"/>
        </w:rPr>
        <w:t>投标人不得将本项目采购内容以任何方式进行分包。</w:t>
      </w:r>
    </w:p>
    <w:p w14:paraId="02B2BE44">
      <w:pPr>
        <w:numPr>
          <w:ilvl w:val="0"/>
          <w:numId w:val="0"/>
        </w:numPr>
        <w:spacing w:line="360" w:lineRule="auto"/>
        <w:ind w:leftChars="175" w:firstLine="480" w:firstLineChars="200"/>
        <w:rPr>
          <w:rFonts w:hint="eastAsia" w:ascii="仿宋" w:hAnsi="仿宋" w:eastAsia="仿宋" w:cs="仿宋"/>
          <w:sz w:val="24"/>
          <w:szCs w:val="21"/>
          <w:highlight w:val="none"/>
          <w:lang w:val="en-US" w:eastAsia="zh-CN"/>
        </w:rPr>
      </w:pPr>
      <w:r>
        <w:rPr>
          <w:rFonts w:hint="eastAsia" w:ascii="仿宋" w:hAnsi="仿宋" w:eastAsia="仿宋" w:cs="仿宋"/>
          <w:sz w:val="24"/>
          <w:szCs w:val="21"/>
          <w:highlight w:val="none"/>
          <w:lang w:val="en-US" w:eastAsia="zh-CN"/>
        </w:rPr>
        <w:t>（3）投标人不得将本项目采购内容以任何方式进行转包。</w:t>
      </w:r>
    </w:p>
    <w:p w14:paraId="2CF88D0E">
      <w:pPr>
        <w:numPr>
          <w:ilvl w:val="0"/>
          <w:numId w:val="0"/>
        </w:numPr>
        <w:spacing w:line="360" w:lineRule="auto"/>
        <w:ind w:leftChars="175" w:firstLine="480" w:firstLineChars="200"/>
        <w:rPr>
          <w:rFonts w:hint="eastAsia" w:ascii="仿宋" w:hAnsi="仿宋" w:eastAsia="仿宋" w:cs="仿宋"/>
          <w:sz w:val="24"/>
          <w:szCs w:val="21"/>
          <w:highlight w:val="none"/>
          <w:lang w:val="en-US" w:eastAsia="zh-CN"/>
        </w:rPr>
      </w:pPr>
      <w:r>
        <w:rPr>
          <w:rFonts w:hint="eastAsia" w:ascii="仿宋" w:hAnsi="仿宋" w:eastAsia="仿宋" w:cs="仿宋"/>
          <w:sz w:val="24"/>
          <w:szCs w:val="21"/>
          <w:highlight w:val="none"/>
          <w:lang w:val="en-US" w:eastAsia="zh-CN"/>
        </w:rPr>
        <w:t>（4）投标人之间不得相互串通投标报价，不得排挤其他投标人的公平竞争，损害招标人或者其他投标人的合法权益。</w:t>
      </w:r>
    </w:p>
    <w:p w14:paraId="2DB6B4BD">
      <w:pPr>
        <w:numPr>
          <w:ilvl w:val="0"/>
          <w:numId w:val="0"/>
        </w:numPr>
        <w:spacing w:line="360" w:lineRule="auto"/>
        <w:ind w:leftChars="175" w:firstLine="480" w:firstLineChars="200"/>
        <w:rPr>
          <w:rFonts w:hint="eastAsia" w:ascii="仿宋" w:hAnsi="仿宋" w:eastAsia="仿宋" w:cs="仿宋"/>
          <w:sz w:val="24"/>
          <w:szCs w:val="21"/>
          <w:highlight w:val="none"/>
          <w:lang w:val="en-US" w:eastAsia="zh-CN"/>
        </w:rPr>
      </w:pPr>
      <w:r>
        <w:rPr>
          <w:rFonts w:hint="eastAsia" w:ascii="仿宋" w:hAnsi="仿宋" w:eastAsia="仿宋" w:cs="仿宋"/>
          <w:sz w:val="24"/>
          <w:szCs w:val="21"/>
          <w:highlight w:val="none"/>
          <w:lang w:val="en-US" w:eastAsia="zh-CN"/>
        </w:rPr>
        <w:t>（5）投标人提供的全部材料必须真实有效，投标人如提供虚假材料或存在弄虚作假行为，其投标将被拒绝，招标人有权将其列入中国银行供应商不良行为名单。</w:t>
      </w:r>
    </w:p>
    <w:p w14:paraId="3067F162">
      <w:pPr>
        <w:numPr>
          <w:ilvl w:val="0"/>
          <w:numId w:val="0"/>
        </w:numPr>
        <w:spacing w:line="360" w:lineRule="auto"/>
        <w:ind w:leftChars="175" w:firstLine="480" w:firstLineChars="200"/>
        <w:rPr>
          <w:rFonts w:hint="eastAsia" w:ascii="仿宋" w:hAnsi="仿宋" w:eastAsia="仿宋" w:cs="仿宋"/>
          <w:sz w:val="24"/>
          <w:szCs w:val="21"/>
          <w:highlight w:val="none"/>
          <w:lang w:val="en-US" w:eastAsia="zh-CN"/>
        </w:rPr>
      </w:pPr>
      <w:r>
        <w:rPr>
          <w:rFonts w:hint="eastAsia" w:ascii="仿宋" w:hAnsi="仿宋" w:eastAsia="仿宋" w:cs="仿宋"/>
          <w:sz w:val="24"/>
          <w:szCs w:val="21"/>
          <w:highlight w:val="none"/>
          <w:lang w:val="en-US" w:eastAsia="zh-CN"/>
        </w:rPr>
        <w:t>（6）投标人应未受到联合国、中国或其他招标人认为需适用的制裁发布主体的制裁，也未被前述制裁对象拥有或实际控制。</w:t>
      </w:r>
    </w:p>
    <w:p w14:paraId="1AF6E3F6">
      <w:pPr>
        <w:keepNext w:val="0"/>
        <w:keepLines w:val="0"/>
        <w:widowControl w:val="0"/>
        <w:suppressLineNumbers w:val="0"/>
        <w:spacing w:before="0" w:beforeAutospacing="0" w:after="0" w:afterAutospacing="0" w:line="360" w:lineRule="auto"/>
        <w:ind w:left="0" w:right="0" w:firstLine="723" w:firstLineChars="300"/>
        <w:jc w:val="both"/>
        <w:rPr>
          <w:rFonts w:ascii="Times New Roman" w:hAnsi="Times New Roman" w:eastAsia="仿宋" w:cs="Times New Roman"/>
          <w:sz w:val="24"/>
          <w:szCs w:val="21"/>
          <w:highlight w:val="none"/>
        </w:rPr>
      </w:pPr>
      <w:r>
        <w:rPr>
          <w:rFonts w:hint="eastAsia" w:ascii="仿宋" w:hAnsi="仿宋" w:eastAsia="仿宋" w:cs="仿宋"/>
          <w:b/>
          <w:bCs/>
          <w:sz w:val="24"/>
          <w:szCs w:val="21"/>
          <w:highlight w:val="none"/>
          <w:lang w:val="en-US" w:eastAsia="zh-CN"/>
        </w:rPr>
        <w:t>3.</w:t>
      </w:r>
      <w:r>
        <w:rPr>
          <w:rFonts w:hint="eastAsia" w:ascii="仿宋" w:hAnsi="仿宋" w:eastAsia="仿宋" w:cs="仿宋"/>
          <w:b/>
          <w:bCs/>
          <w:sz w:val="24"/>
          <w:szCs w:val="21"/>
          <w:highlight w:val="none"/>
        </w:rPr>
        <w:t>联合体投标：</w:t>
      </w:r>
      <w:bookmarkEnd w:id="24"/>
      <w:bookmarkStart w:id="25" w:name="_Toc150933567"/>
      <w:r>
        <w:rPr>
          <w:rFonts w:hint="eastAsia" w:ascii="仿宋" w:hAnsi="仿宋" w:eastAsia="仿宋" w:cs="仿宋"/>
          <w:sz w:val="24"/>
          <w:szCs w:val="21"/>
          <w:highlight w:val="none"/>
        </w:rPr>
        <w:t>本项目不接受联合体投标</w:t>
      </w:r>
      <w:r>
        <w:rPr>
          <w:rFonts w:hint="eastAsia" w:ascii="仿宋" w:hAnsi="仿宋" w:eastAsia="仿宋" w:cs="仿宋"/>
          <w:sz w:val="24"/>
          <w:szCs w:val="21"/>
          <w:highlight w:val="none"/>
          <w:lang w:eastAsia="zh-CN"/>
        </w:rPr>
        <w:t>。</w:t>
      </w:r>
    </w:p>
    <w:p w14:paraId="46DD490D">
      <w:pPr>
        <w:numPr>
          <w:ilvl w:val="255"/>
          <w:numId w:val="0"/>
        </w:numPr>
        <w:spacing w:line="360" w:lineRule="auto"/>
        <w:ind w:firstLine="723" w:firstLineChars="300"/>
        <w:rPr>
          <w:rFonts w:ascii="仿宋" w:hAnsi="仿宋" w:eastAsia="仿宋" w:cs="仿宋"/>
          <w:sz w:val="24"/>
          <w:szCs w:val="21"/>
          <w:highlight w:val="none"/>
        </w:rPr>
      </w:pPr>
      <w:r>
        <w:rPr>
          <w:rFonts w:hint="eastAsia" w:ascii="仿宋" w:hAnsi="仿宋" w:eastAsia="仿宋" w:cs="仿宋"/>
          <w:b/>
          <w:bCs/>
          <w:sz w:val="24"/>
          <w:szCs w:val="21"/>
          <w:highlight w:val="none"/>
          <w:lang w:val="en-US" w:eastAsia="zh-CN"/>
        </w:rPr>
        <w:t>4.</w:t>
      </w:r>
      <w:r>
        <w:rPr>
          <w:rFonts w:hint="eastAsia" w:ascii="宋体" w:hAnsi="宋体" w:eastAsia="宋体" w:cs="宋体"/>
          <w:b/>
          <w:bCs/>
          <w:color w:val="000000"/>
          <w:kern w:val="0"/>
          <w:sz w:val="24"/>
          <w:szCs w:val="24"/>
          <w:highlight w:val="none"/>
        </w:rPr>
        <w:t>控股、管理关系</w:t>
      </w:r>
      <w:r>
        <w:rPr>
          <w:rFonts w:hint="eastAsia" w:ascii="仿宋" w:hAnsi="仿宋" w:eastAsia="仿宋" w:cs="仿宋"/>
          <w:b/>
          <w:bCs/>
          <w:sz w:val="24"/>
          <w:szCs w:val="21"/>
          <w:highlight w:val="none"/>
          <w:lang w:val="en-US" w:eastAsia="zh-CN"/>
        </w:rPr>
        <w:t>：</w:t>
      </w:r>
      <w:r>
        <w:rPr>
          <w:rFonts w:hint="eastAsia" w:ascii="仿宋" w:hAnsi="仿宋" w:eastAsia="仿宋" w:cs="仿宋"/>
          <w:sz w:val="24"/>
          <w:szCs w:val="21"/>
          <w:highlight w:val="none"/>
        </w:rPr>
        <w:t>存在关联关系的投标人不同时参与：本项目。</w:t>
      </w:r>
    </w:p>
    <w:p w14:paraId="25502FB7">
      <w:pPr>
        <w:numPr>
          <w:ilvl w:val="255"/>
          <w:numId w:val="0"/>
        </w:numPr>
        <w:spacing w:line="360" w:lineRule="auto"/>
        <w:ind w:firstLine="480" w:firstLineChars="200"/>
        <w:rPr>
          <w:rFonts w:ascii="仿宋" w:hAnsi="仿宋" w:eastAsia="仿宋" w:cs="仿宋"/>
          <w:sz w:val="24"/>
          <w:szCs w:val="21"/>
          <w:highlight w:val="none"/>
        </w:rPr>
      </w:pPr>
      <w:r>
        <w:rPr>
          <w:rFonts w:hint="eastAsia" w:ascii="仿宋" w:hAnsi="仿宋" w:eastAsia="仿宋" w:cs="仿宋"/>
          <w:sz w:val="24"/>
          <w:szCs w:val="21"/>
          <w:highlight w:val="none"/>
        </w:rPr>
        <w:t>关联关系投标人包含以下情况：</w:t>
      </w:r>
    </w:p>
    <w:p w14:paraId="0E874B29">
      <w:pPr>
        <w:numPr>
          <w:ilvl w:val="0"/>
          <w:numId w:val="0"/>
        </w:numPr>
        <w:spacing w:line="360" w:lineRule="auto"/>
        <w:ind w:leftChars="175"/>
        <w:outlineLvl w:val="9"/>
        <w:rPr>
          <w:rFonts w:ascii="仿宋" w:hAnsi="仿宋" w:eastAsia="仿宋" w:cs="仿宋"/>
          <w:sz w:val="24"/>
          <w:szCs w:val="21"/>
          <w:highlight w:val="none"/>
        </w:rPr>
      </w:pPr>
      <w:bookmarkStart w:id="26" w:name="_Toc150933571"/>
      <w:r>
        <w:rPr>
          <w:rFonts w:hint="eastAsia" w:ascii="仿宋" w:hAnsi="仿宋" w:eastAsia="仿宋" w:cs="仿宋"/>
          <w:sz w:val="24"/>
          <w:szCs w:val="21"/>
          <w:highlight w:val="none"/>
          <w:lang w:eastAsia="zh-CN"/>
        </w:rPr>
        <w:t>（</w:t>
      </w:r>
      <w:r>
        <w:rPr>
          <w:rFonts w:hint="eastAsia" w:ascii="仿宋" w:hAnsi="仿宋" w:eastAsia="仿宋" w:cs="仿宋"/>
          <w:sz w:val="24"/>
          <w:szCs w:val="21"/>
          <w:highlight w:val="none"/>
          <w:lang w:val="en-US" w:eastAsia="zh-CN"/>
        </w:rPr>
        <w:t>1</w:t>
      </w:r>
      <w:r>
        <w:rPr>
          <w:rFonts w:hint="eastAsia" w:ascii="仿宋" w:hAnsi="仿宋" w:eastAsia="仿宋" w:cs="仿宋"/>
          <w:sz w:val="24"/>
          <w:szCs w:val="21"/>
          <w:highlight w:val="none"/>
          <w:lang w:eastAsia="zh-CN"/>
        </w:rPr>
        <w:t>）</w:t>
      </w:r>
      <w:r>
        <w:rPr>
          <w:rFonts w:hint="eastAsia" w:ascii="仿宋" w:hAnsi="仿宋" w:eastAsia="仿宋" w:cs="仿宋"/>
          <w:sz w:val="24"/>
          <w:szCs w:val="21"/>
          <w:highlight w:val="none"/>
        </w:rPr>
        <w:t>与本投标人单位法定代表人</w:t>
      </w:r>
      <w:r>
        <w:rPr>
          <w:rFonts w:hint="eastAsia" w:ascii="仿宋" w:hAnsi="仿宋" w:eastAsia="仿宋" w:cs="仿宋"/>
          <w:bCs/>
          <w:sz w:val="24"/>
          <w:szCs w:val="21"/>
          <w:highlight w:val="none"/>
        </w:rPr>
        <w:t>/</w:t>
      </w:r>
      <w:r>
        <w:rPr>
          <w:rFonts w:hint="eastAsia" w:ascii="仿宋" w:hAnsi="仿宋" w:eastAsia="仿宋" w:cs="仿宋"/>
          <w:sz w:val="24"/>
          <w:szCs w:val="21"/>
          <w:highlight w:val="none"/>
        </w:rPr>
        <w:t>负责人为同一人的其他投标人；</w:t>
      </w:r>
      <w:bookmarkEnd w:id="26"/>
      <w:bookmarkStart w:id="27" w:name="_Toc149230388"/>
    </w:p>
    <w:p w14:paraId="5701F187">
      <w:pPr>
        <w:numPr>
          <w:ilvl w:val="0"/>
          <w:numId w:val="0"/>
        </w:numPr>
        <w:spacing w:line="360" w:lineRule="auto"/>
        <w:ind w:leftChars="175"/>
        <w:outlineLvl w:val="9"/>
        <w:rPr>
          <w:rFonts w:ascii="仿宋" w:hAnsi="仿宋" w:eastAsia="仿宋" w:cs="仿宋"/>
          <w:sz w:val="24"/>
          <w:szCs w:val="24"/>
          <w:highlight w:val="none"/>
        </w:rPr>
      </w:pPr>
      <w:bookmarkStart w:id="28" w:name="_Toc150933572"/>
      <w:r>
        <w:rPr>
          <w:rFonts w:hint="eastAsia" w:ascii="仿宋" w:hAnsi="仿宋" w:eastAsia="仿宋" w:cs="仿宋"/>
          <w:sz w:val="24"/>
          <w:szCs w:val="21"/>
          <w:highlight w:val="none"/>
          <w:lang w:eastAsia="zh-CN"/>
        </w:rPr>
        <w:t>（</w:t>
      </w:r>
      <w:r>
        <w:rPr>
          <w:rFonts w:hint="eastAsia" w:ascii="仿宋" w:hAnsi="仿宋" w:eastAsia="仿宋" w:cs="仿宋"/>
          <w:sz w:val="24"/>
          <w:szCs w:val="21"/>
          <w:highlight w:val="none"/>
          <w:lang w:val="en-US" w:eastAsia="zh-CN"/>
        </w:rPr>
        <w:t>2</w:t>
      </w:r>
      <w:r>
        <w:rPr>
          <w:rFonts w:hint="eastAsia" w:ascii="仿宋" w:hAnsi="仿宋" w:eastAsia="仿宋" w:cs="仿宋"/>
          <w:sz w:val="24"/>
          <w:szCs w:val="21"/>
          <w:highlight w:val="none"/>
          <w:lang w:eastAsia="zh-CN"/>
        </w:rPr>
        <w:t>）</w:t>
      </w:r>
      <w:r>
        <w:rPr>
          <w:rFonts w:hint="eastAsia" w:ascii="仿宋" w:hAnsi="仿宋" w:eastAsia="仿宋" w:cs="仿宋"/>
          <w:sz w:val="24"/>
          <w:szCs w:val="21"/>
          <w:highlight w:val="none"/>
        </w:rPr>
        <w:t>与</w:t>
      </w:r>
      <w:r>
        <w:rPr>
          <w:rFonts w:hint="eastAsia" w:ascii="仿宋" w:hAnsi="仿宋" w:eastAsia="仿宋" w:cs="仿宋"/>
          <w:sz w:val="24"/>
          <w:szCs w:val="24"/>
          <w:highlight w:val="none"/>
        </w:rPr>
        <w:t>本投标人存在直接控股、管理关系的其他投标人。</w:t>
      </w:r>
      <w:bookmarkEnd w:id="27"/>
      <w:bookmarkEnd w:id="28"/>
    </w:p>
    <w:p w14:paraId="595AC725">
      <w:pPr>
        <w:numPr>
          <w:ilvl w:val="0"/>
          <w:numId w:val="0"/>
        </w:numPr>
        <w:spacing w:line="360" w:lineRule="auto"/>
        <w:ind w:leftChars="175" w:firstLine="480" w:firstLineChars="200"/>
        <w:rPr>
          <w:rFonts w:ascii="仿宋" w:hAnsi="仿宋" w:eastAsia="仿宋" w:cs="仿宋"/>
          <w:sz w:val="24"/>
          <w:szCs w:val="21"/>
          <w:highlight w:val="none"/>
        </w:rPr>
      </w:pPr>
      <w:r>
        <w:rPr>
          <w:rFonts w:hint="eastAsia" w:ascii="仿宋" w:hAnsi="仿宋" w:eastAsia="仿宋" w:cs="仿宋"/>
          <w:sz w:val="24"/>
          <w:szCs w:val="24"/>
          <w:highlight w:val="none"/>
        </w:rPr>
        <w:t>投标人应向招标人如实披露与本投标人存在关联关系的其他投标人。招标人有权取消关联关系投标人参与本项目的资格或重新组织招标。</w:t>
      </w:r>
      <w:bookmarkEnd w:id="25"/>
    </w:p>
    <w:p w14:paraId="4C63AC41">
      <w:pPr>
        <w:numPr>
          <w:ilvl w:val="0"/>
          <w:numId w:val="0"/>
        </w:numPr>
        <w:spacing w:line="360" w:lineRule="auto"/>
        <w:ind w:leftChars="175" w:firstLine="482" w:firstLineChars="200"/>
        <w:rPr>
          <w:rFonts w:ascii="仿宋" w:hAnsi="仿宋" w:eastAsia="仿宋" w:cs="仿宋"/>
          <w:sz w:val="24"/>
          <w:szCs w:val="21"/>
          <w:highlight w:val="none"/>
        </w:rPr>
      </w:pPr>
      <w:r>
        <w:rPr>
          <w:rFonts w:hint="eastAsia" w:ascii="仿宋" w:hAnsi="仿宋" w:eastAsia="仿宋" w:cs="仿宋"/>
          <w:b/>
          <w:bCs/>
          <w:sz w:val="24"/>
          <w:szCs w:val="21"/>
          <w:highlight w:val="none"/>
          <w:lang w:val="en-US" w:eastAsia="zh-CN"/>
        </w:rPr>
        <w:t>5.企业信誉1：</w:t>
      </w:r>
      <w:r>
        <w:rPr>
          <w:rFonts w:hint="eastAsia" w:ascii="仿宋" w:hAnsi="仿宋" w:eastAsia="仿宋" w:cs="仿宋"/>
          <w:sz w:val="24"/>
          <w:szCs w:val="21"/>
          <w:highlight w:val="none"/>
        </w:rPr>
        <w:t>截至递交投标文件截止日</w:t>
      </w:r>
      <w:r>
        <w:rPr>
          <w:rFonts w:hint="eastAsia" w:ascii="仿宋" w:hAnsi="仿宋" w:eastAsia="仿宋" w:cs="Times New Roman"/>
          <w:sz w:val="24"/>
          <w:szCs w:val="21"/>
          <w:highlight w:val="none"/>
        </w:rPr>
        <w:t>（含）</w:t>
      </w:r>
      <w:r>
        <w:rPr>
          <w:rFonts w:hint="eastAsia" w:ascii="仿宋" w:hAnsi="仿宋" w:eastAsia="仿宋" w:cs="仿宋"/>
          <w:sz w:val="24"/>
          <w:szCs w:val="21"/>
          <w:highlight w:val="none"/>
        </w:rPr>
        <w:t>，投标人未被“信用中国”网站（</w:t>
      </w:r>
      <w:r>
        <w:rPr>
          <w:rFonts w:hint="eastAsia" w:ascii="仿宋" w:hAnsi="仿宋" w:eastAsia="仿宋" w:cs="仿宋"/>
          <w:bCs/>
          <w:sz w:val="24"/>
          <w:szCs w:val="24"/>
          <w:highlight w:val="none"/>
        </w:rPr>
        <w:t>http://www.creditchina.gov.cn）</w:t>
      </w:r>
      <w:r>
        <w:rPr>
          <w:rFonts w:hint="eastAsia" w:ascii="仿宋" w:hAnsi="仿宋" w:eastAsia="仿宋" w:cs="仿宋"/>
          <w:sz w:val="24"/>
          <w:szCs w:val="21"/>
          <w:highlight w:val="none"/>
        </w:rPr>
        <w:t>列入失信被执行人、重大税收违法失信主体、政府采购严重违法失信行为记录名单。</w:t>
      </w:r>
    </w:p>
    <w:p w14:paraId="19F13231">
      <w:pPr>
        <w:numPr>
          <w:ilvl w:val="0"/>
          <w:numId w:val="0"/>
        </w:numPr>
        <w:spacing w:line="360" w:lineRule="auto"/>
        <w:ind w:leftChars="175" w:firstLine="482" w:firstLineChars="200"/>
        <w:rPr>
          <w:rFonts w:ascii="仿宋" w:hAnsi="仿宋" w:eastAsia="仿宋" w:cs="仿宋"/>
          <w:sz w:val="24"/>
          <w:szCs w:val="21"/>
          <w:highlight w:val="none"/>
        </w:rPr>
      </w:pPr>
      <w:r>
        <w:rPr>
          <w:rFonts w:hint="eastAsia" w:ascii="仿宋" w:hAnsi="仿宋" w:eastAsia="仿宋" w:cs="仿宋"/>
          <w:b/>
          <w:bCs/>
          <w:sz w:val="24"/>
          <w:szCs w:val="21"/>
          <w:highlight w:val="none"/>
          <w:lang w:val="en-US" w:eastAsia="zh-CN"/>
        </w:rPr>
        <w:t>6.企业信誉2：</w:t>
      </w:r>
      <w:r>
        <w:rPr>
          <w:rFonts w:hint="eastAsia" w:ascii="仿宋" w:hAnsi="仿宋" w:eastAsia="仿宋" w:cs="仿宋"/>
          <w:sz w:val="24"/>
          <w:szCs w:val="21"/>
          <w:highlight w:val="none"/>
        </w:rPr>
        <w:t>近3年（20</w:t>
      </w:r>
      <w:r>
        <w:rPr>
          <w:rFonts w:hint="eastAsia" w:ascii="仿宋" w:hAnsi="仿宋" w:eastAsia="仿宋" w:cs="仿宋"/>
          <w:sz w:val="24"/>
          <w:szCs w:val="21"/>
          <w:highlight w:val="none"/>
          <w:lang w:val="en-US" w:eastAsia="zh-CN"/>
        </w:rPr>
        <w:t>22</w:t>
      </w:r>
      <w:r>
        <w:rPr>
          <w:rFonts w:hint="eastAsia" w:ascii="仿宋" w:hAnsi="仿宋" w:eastAsia="仿宋" w:cs="仿宋"/>
          <w:sz w:val="24"/>
          <w:szCs w:val="21"/>
          <w:highlight w:val="none"/>
        </w:rPr>
        <w:t>年1月1日至递交投标文件截止日（含）），投标人经营活动中没有重大违法违规记录或涉及环境保护、劳动用工、消费者权益保护等方面的重大违法违规行为。重大违法违规，是指供应商因违法经营受到刑事处罚或者责令停产停业、吊销许可证或者执照、人民币200万元以上（含）的罚款等行政处罚。</w:t>
      </w:r>
    </w:p>
    <w:p w14:paraId="22BB2163">
      <w:pPr>
        <w:numPr>
          <w:ilvl w:val="0"/>
          <w:numId w:val="0"/>
        </w:numPr>
        <w:spacing w:line="360" w:lineRule="auto"/>
        <w:ind w:firstLine="964" w:firstLineChars="400"/>
        <w:rPr>
          <w:rFonts w:hint="default" w:ascii="仿宋" w:hAnsi="仿宋" w:eastAsia="仿宋" w:cs="仿宋"/>
          <w:b/>
          <w:bCs/>
          <w:sz w:val="24"/>
          <w:szCs w:val="21"/>
          <w:highlight w:val="none"/>
          <w:lang w:val="en-US" w:eastAsia="zh-CN"/>
        </w:rPr>
      </w:pPr>
      <w:r>
        <w:rPr>
          <w:rFonts w:hint="eastAsia" w:ascii="仿宋" w:hAnsi="仿宋" w:eastAsia="仿宋" w:cs="仿宋"/>
          <w:b/>
          <w:bCs/>
          <w:sz w:val="24"/>
          <w:szCs w:val="21"/>
          <w:highlight w:val="none"/>
          <w:lang w:val="en-US" w:eastAsia="zh-CN"/>
        </w:rPr>
        <w:t>7.企业信誉3：</w:t>
      </w:r>
      <w:r>
        <w:rPr>
          <w:rFonts w:hint="eastAsia" w:ascii="仿宋" w:hAnsi="仿宋" w:eastAsia="仿宋" w:cs="仿宋"/>
          <w:sz w:val="24"/>
          <w:szCs w:val="21"/>
          <w:highlight w:val="none"/>
          <w:lang w:val="en-US" w:eastAsia="zh-CN"/>
        </w:rPr>
        <w:t>截至递交投标文件截止日</w:t>
      </w:r>
      <w:r>
        <w:rPr>
          <w:rFonts w:hint="eastAsia" w:ascii="仿宋" w:hAnsi="仿宋" w:eastAsia="仿宋" w:cs="仿宋"/>
          <w:sz w:val="24"/>
          <w:szCs w:val="21"/>
          <w:highlight w:val="none"/>
        </w:rPr>
        <w:t>（含）</w:t>
      </w:r>
      <w:r>
        <w:rPr>
          <w:rFonts w:hint="eastAsia" w:ascii="仿宋" w:hAnsi="仿宋" w:eastAsia="仿宋" w:cs="仿宋"/>
          <w:sz w:val="24"/>
          <w:szCs w:val="21"/>
          <w:highlight w:val="none"/>
          <w:lang w:val="en-US" w:eastAsia="zh-CN"/>
        </w:rPr>
        <w:t>，投标人未处于中国银行供应商不良行为禁止准入处罚期内。</w:t>
      </w:r>
    </w:p>
    <w:p w14:paraId="616F39A9">
      <w:pPr>
        <w:numPr>
          <w:ilvl w:val="0"/>
          <w:numId w:val="0"/>
        </w:numPr>
        <w:spacing w:line="360" w:lineRule="auto"/>
        <w:ind w:firstLine="964" w:firstLineChars="400"/>
        <w:rPr>
          <w:rFonts w:hint="default" w:ascii="仿宋" w:hAnsi="仿宋" w:eastAsia="仿宋" w:cs="仿宋"/>
          <w:b/>
          <w:bCs/>
          <w:kern w:val="2"/>
          <w:sz w:val="24"/>
          <w:szCs w:val="24"/>
          <w:highlight w:val="none"/>
          <w:lang w:val="en-US" w:eastAsia="zh-CN" w:bidi="ar-SA"/>
        </w:rPr>
      </w:pPr>
      <w:r>
        <w:rPr>
          <w:rFonts w:hint="eastAsia" w:ascii="仿宋" w:hAnsi="仿宋" w:eastAsia="仿宋" w:cs="仿宋"/>
          <w:b/>
          <w:bCs/>
          <w:sz w:val="24"/>
          <w:szCs w:val="21"/>
          <w:highlight w:val="none"/>
          <w:lang w:val="en-US" w:eastAsia="zh-CN"/>
        </w:rPr>
        <w:t>8.企业责任：</w:t>
      </w:r>
      <w:r>
        <w:rPr>
          <w:rFonts w:hint="eastAsia" w:ascii="仿宋" w:hAnsi="仿宋" w:eastAsia="仿宋" w:cs="仿宋"/>
          <w:sz w:val="24"/>
          <w:szCs w:val="21"/>
          <w:highlight w:val="none"/>
        </w:rPr>
        <w:t>投标人须</w:t>
      </w:r>
      <w:r>
        <w:rPr>
          <w:rFonts w:hint="eastAsia" w:ascii="仿宋" w:hAnsi="仿宋" w:eastAsia="仿宋" w:cs="仿宋"/>
          <w:sz w:val="24"/>
          <w:szCs w:val="21"/>
          <w:highlight w:val="none"/>
          <w:lang w:val="en-US" w:eastAsia="zh-CN"/>
        </w:rPr>
        <w:t>承诺</w:t>
      </w:r>
      <w:r>
        <w:rPr>
          <w:rFonts w:hint="eastAsia" w:ascii="仿宋" w:hAnsi="仿宋" w:eastAsia="仿宋" w:cs="仿宋"/>
          <w:sz w:val="24"/>
          <w:szCs w:val="21"/>
          <w:highlight w:val="none"/>
        </w:rPr>
        <w:t>：招标人在使用其提供的服务时，在使用的国家</w:t>
      </w:r>
      <w:r>
        <w:rPr>
          <w:rFonts w:hint="eastAsia" w:ascii="仿宋" w:hAnsi="仿宋" w:eastAsia="仿宋" w:cs="仿宋"/>
          <w:bCs/>
          <w:sz w:val="24"/>
          <w:szCs w:val="21"/>
          <w:highlight w:val="none"/>
        </w:rPr>
        <w:t>/</w:t>
      </w:r>
      <w:r>
        <w:rPr>
          <w:rFonts w:hint="eastAsia" w:ascii="仿宋" w:hAnsi="仿宋" w:eastAsia="仿宋" w:cs="仿宋"/>
          <w:sz w:val="24"/>
          <w:szCs w:val="21"/>
          <w:highlight w:val="none"/>
        </w:rPr>
        <w:t>地区不存在任何已知的不合法的情形，也不存在任何已知的与第三方专利权、著作权、商标权等知识产权、肖像权等民事权利相关的侵权行为。如果有任何因招标人使用投标人提供的服务而提起的侵权指控，投标人须依法承担全部责任。</w:t>
      </w:r>
    </w:p>
    <w:p w14:paraId="309C22ED">
      <w:pPr>
        <w:numPr>
          <w:ilvl w:val="0"/>
          <w:numId w:val="0"/>
        </w:numPr>
        <w:spacing w:line="360" w:lineRule="auto"/>
        <w:ind w:left="0" w:leftChars="0" w:firstLine="0" w:firstLineChars="0"/>
        <w:outlineLvl w:val="1"/>
        <w:rPr>
          <w:rFonts w:ascii="仿宋" w:hAnsi="仿宋" w:eastAsia="仿宋" w:cs="仿宋"/>
          <w:b/>
          <w:bCs/>
          <w:sz w:val="24"/>
          <w:szCs w:val="21"/>
          <w:highlight w:val="none"/>
        </w:rPr>
      </w:pPr>
      <w:bookmarkStart w:id="29" w:name="_Toc18409"/>
      <w:r>
        <w:rPr>
          <w:rFonts w:hint="eastAsia" w:ascii="仿宋" w:hAnsi="仿宋" w:eastAsia="仿宋" w:cs="仿宋"/>
          <w:b/>
          <w:bCs/>
          <w:kern w:val="2"/>
          <w:sz w:val="24"/>
          <w:szCs w:val="21"/>
          <w:highlight w:val="none"/>
          <w:lang w:val="en-US" w:eastAsia="zh-CN" w:bidi="ar-SA"/>
        </w:rPr>
        <w:t>五、</w:t>
      </w:r>
      <w:r>
        <w:rPr>
          <w:rFonts w:hint="eastAsia" w:ascii="仿宋" w:hAnsi="仿宋" w:eastAsia="仿宋" w:cs="仿宋"/>
          <w:b/>
          <w:bCs/>
          <w:sz w:val="24"/>
          <w:szCs w:val="21"/>
          <w:highlight w:val="none"/>
        </w:rPr>
        <w:t>招标文件发售：</w:t>
      </w:r>
      <w:bookmarkEnd w:id="19"/>
      <w:bookmarkEnd w:id="20"/>
      <w:bookmarkEnd w:id="21"/>
      <w:bookmarkEnd w:id="22"/>
      <w:bookmarkEnd w:id="23"/>
      <w:bookmarkEnd w:id="29"/>
      <w:bookmarkStart w:id="30" w:name="_Toc150933574"/>
      <w:bookmarkStart w:id="31" w:name="_Toc149230390"/>
      <w:bookmarkStart w:id="32" w:name="_Toc108796136"/>
    </w:p>
    <w:p w14:paraId="144899EC">
      <w:pPr>
        <w:spacing w:line="360" w:lineRule="auto"/>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.1招标文件发售时间:【20</w:t>
      </w:r>
      <w:r>
        <w:rPr>
          <w:rFonts w:hint="eastAsia" w:ascii="仿宋" w:hAnsi="仿宋" w:eastAsia="仿宋" w:cs="仿宋"/>
          <w:sz w:val="24"/>
          <w:szCs w:val="24"/>
          <w:highlight w:val="none"/>
          <w:lang w:val="en-US" w:eastAsia="zh-CN"/>
        </w:rPr>
        <w:t>25</w:t>
      </w:r>
      <w:r>
        <w:rPr>
          <w:rFonts w:hint="eastAsia" w:ascii="仿宋" w:hAnsi="仿宋" w:eastAsia="仿宋" w:cs="仿宋"/>
          <w:sz w:val="24"/>
          <w:szCs w:val="24"/>
          <w:highlight w:val="none"/>
        </w:rPr>
        <w:t>年</w:t>
      </w:r>
      <w:r>
        <w:rPr>
          <w:rFonts w:hint="eastAsia" w:ascii="仿宋" w:hAnsi="仿宋" w:eastAsia="仿宋" w:cs="仿宋"/>
          <w:sz w:val="24"/>
          <w:szCs w:val="24"/>
          <w:highlight w:val="none"/>
          <w:lang w:val="en-US" w:eastAsia="zh-CN"/>
        </w:rPr>
        <w:t>12</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12</w:t>
      </w:r>
      <w:r>
        <w:rPr>
          <w:rFonts w:hint="eastAsia" w:ascii="仿宋" w:hAnsi="仿宋" w:eastAsia="仿宋" w:cs="仿宋"/>
          <w:sz w:val="24"/>
          <w:szCs w:val="24"/>
          <w:highlight w:val="none"/>
        </w:rPr>
        <w:t>日</w:t>
      </w:r>
      <w:r>
        <w:rPr>
          <w:rFonts w:hint="eastAsia" w:ascii="仿宋" w:hAnsi="仿宋" w:eastAsia="仿宋" w:cs="仿宋"/>
          <w:sz w:val="24"/>
          <w:szCs w:val="24"/>
          <w:highlight w:val="none"/>
          <w:lang w:val="en-US" w:eastAsia="zh-CN"/>
        </w:rPr>
        <w:t>21</w:t>
      </w:r>
      <w:r>
        <w:rPr>
          <w:rFonts w:hint="eastAsia" w:ascii="仿宋" w:hAnsi="仿宋" w:eastAsia="仿宋" w:cs="仿宋"/>
          <w:sz w:val="24"/>
          <w:szCs w:val="24"/>
          <w:highlight w:val="none"/>
        </w:rPr>
        <w:t>时</w:t>
      </w:r>
      <w:r>
        <w:rPr>
          <w:rFonts w:hint="eastAsia" w:ascii="仿宋" w:hAnsi="仿宋" w:eastAsia="仿宋" w:cs="仿宋"/>
          <w:sz w:val="24"/>
          <w:szCs w:val="24"/>
          <w:highlight w:val="none"/>
          <w:lang w:val="en-US" w:eastAsia="zh-CN"/>
        </w:rPr>
        <w:t>00</w:t>
      </w:r>
      <w:r>
        <w:rPr>
          <w:rFonts w:hint="eastAsia" w:ascii="仿宋" w:hAnsi="仿宋" w:eastAsia="仿宋" w:cs="仿宋"/>
          <w:sz w:val="24"/>
          <w:szCs w:val="24"/>
          <w:highlight w:val="none"/>
        </w:rPr>
        <w:t>分至202</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年</w:t>
      </w:r>
      <w:r>
        <w:rPr>
          <w:rFonts w:hint="eastAsia" w:ascii="仿宋" w:hAnsi="仿宋" w:eastAsia="仿宋" w:cs="仿宋"/>
          <w:sz w:val="24"/>
          <w:szCs w:val="24"/>
          <w:highlight w:val="none"/>
          <w:lang w:val="en-US" w:eastAsia="zh-CN"/>
        </w:rPr>
        <w:t>12</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19</w:t>
      </w:r>
      <w:r>
        <w:rPr>
          <w:rFonts w:hint="eastAsia" w:ascii="仿宋" w:hAnsi="仿宋" w:eastAsia="仿宋" w:cs="仿宋"/>
          <w:sz w:val="24"/>
          <w:szCs w:val="24"/>
          <w:highlight w:val="none"/>
        </w:rPr>
        <w:t>日</w:t>
      </w:r>
      <w:r>
        <w:rPr>
          <w:rFonts w:hint="eastAsia" w:ascii="仿宋" w:hAnsi="仿宋" w:eastAsia="仿宋" w:cs="仿宋"/>
          <w:sz w:val="24"/>
          <w:szCs w:val="24"/>
          <w:highlight w:val="none"/>
          <w:lang w:val="en-US" w:eastAsia="zh-CN"/>
        </w:rPr>
        <w:t>17</w:t>
      </w:r>
      <w:r>
        <w:rPr>
          <w:rFonts w:hint="eastAsia" w:ascii="仿宋" w:hAnsi="仿宋" w:eastAsia="仿宋" w:cs="仿宋"/>
          <w:sz w:val="24"/>
          <w:szCs w:val="24"/>
          <w:highlight w:val="none"/>
        </w:rPr>
        <w:t>时</w:t>
      </w:r>
      <w:r>
        <w:rPr>
          <w:rFonts w:hint="eastAsia" w:ascii="仿宋" w:hAnsi="仿宋" w:eastAsia="仿宋" w:cs="仿宋"/>
          <w:sz w:val="24"/>
          <w:szCs w:val="24"/>
          <w:highlight w:val="none"/>
          <w:lang w:val="en-US" w:eastAsia="zh-CN"/>
        </w:rPr>
        <w:t>30</w:t>
      </w:r>
      <w:r>
        <w:rPr>
          <w:rFonts w:hint="eastAsia" w:ascii="仿宋" w:hAnsi="仿宋" w:eastAsia="仿宋" w:cs="仿宋"/>
          <w:sz w:val="24"/>
          <w:szCs w:val="24"/>
          <w:highlight w:val="none"/>
        </w:rPr>
        <w:t>分】（北京时间，下同）。</w:t>
      </w:r>
    </w:p>
    <w:p w14:paraId="3DFD31DD">
      <w:pPr>
        <w:spacing w:line="360" w:lineRule="auto"/>
        <w:ind w:firstLine="720" w:firstLineChars="30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.2招标文件获取方式：使用</w:t>
      </w:r>
      <w:r>
        <w:rPr>
          <w:rFonts w:hint="eastAsia" w:ascii="仿宋" w:hAnsi="仿宋" w:eastAsia="仿宋" w:cs="仿宋"/>
          <w:sz w:val="24"/>
          <w:szCs w:val="24"/>
          <w:highlight w:val="none"/>
          <w:lang w:val="en-US" w:eastAsia="zh-CN"/>
        </w:rPr>
        <w:t>招标</w:t>
      </w:r>
      <w:r>
        <w:rPr>
          <w:rFonts w:hint="eastAsia" w:ascii="仿宋" w:hAnsi="仿宋" w:eastAsia="仿宋" w:cs="仿宋"/>
          <w:sz w:val="24"/>
          <w:szCs w:val="24"/>
          <w:highlight w:val="none"/>
        </w:rPr>
        <w:t>代理机构电子招投标平台进行缴费及购买文件。关注</w:t>
      </w:r>
      <w:r>
        <w:rPr>
          <w:rFonts w:hint="eastAsia" w:ascii="仿宋" w:hAnsi="仿宋" w:eastAsia="仿宋" w:cs="仿宋"/>
          <w:sz w:val="24"/>
          <w:szCs w:val="24"/>
          <w:highlight w:val="none"/>
          <w:lang w:val="en-US" w:eastAsia="zh-CN"/>
        </w:rPr>
        <w:t>招标</w:t>
      </w:r>
      <w:r>
        <w:rPr>
          <w:rFonts w:hint="eastAsia" w:ascii="仿宋" w:hAnsi="仿宋" w:eastAsia="仿宋" w:cs="仿宋"/>
          <w:sz w:val="24"/>
          <w:szCs w:val="24"/>
          <w:highlight w:val="none"/>
        </w:rPr>
        <w:t>代理机构电子招投标平台（https://zb.chinaccsscm.cn/）并根据提示完成注册、</w:t>
      </w:r>
      <w:r>
        <w:rPr>
          <w:rFonts w:hint="eastAsia" w:ascii="仿宋" w:hAnsi="仿宋" w:eastAsia="仿宋" w:cs="仿宋"/>
          <w:sz w:val="24"/>
          <w:szCs w:val="24"/>
          <w:highlight w:val="none"/>
          <w:lang w:val="en-US" w:eastAsia="zh-CN"/>
        </w:rPr>
        <w:t>招标</w:t>
      </w:r>
      <w:r>
        <w:rPr>
          <w:rFonts w:hint="eastAsia" w:ascii="仿宋" w:hAnsi="仿宋" w:eastAsia="仿宋" w:cs="仿宋"/>
          <w:sz w:val="24"/>
          <w:szCs w:val="24"/>
          <w:highlight w:val="none"/>
        </w:rPr>
        <w:t>文件费用支付，在“链捷招-投标”中根据提示完成</w:t>
      </w:r>
      <w:r>
        <w:rPr>
          <w:rFonts w:hint="eastAsia" w:ascii="仿宋" w:hAnsi="仿宋" w:eastAsia="仿宋" w:cs="仿宋"/>
          <w:sz w:val="24"/>
          <w:szCs w:val="24"/>
          <w:highlight w:val="none"/>
          <w:lang w:val="en-US" w:eastAsia="zh-CN"/>
        </w:rPr>
        <w:t>招标</w:t>
      </w:r>
      <w:r>
        <w:rPr>
          <w:rFonts w:hint="eastAsia" w:ascii="仿宋" w:hAnsi="仿宋" w:eastAsia="仿宋" w:cs="仿宋"/>
          <w:sz w:val="24"/>
          <w:szCs w:val="24"/>
          <w:highlight w:val="none"/>
        </w:rPr>
        <w:t>文件费用支付（注册审核联系商务专员，电话：18060753032）</w:t>
      </w:r>
      <w:r>
        <w:rPr>
          <w:rFonts w:hint="eastAsia" w:ascii="仿宋" w:hAnsi="仿宋" w:eastAsia="仿宋" w:cs="仿宋"/>
          <w:sz w:val="24"/>
          <w:szCs w:val="24"/>
          <w:highlight w:val="none"/>
          <w:lang w:eastAsia="zh-CN"/>
        </w:rPr>
        <w:t>。</w:t>
      </w:r>
    </w:p>
    <w:p w14:paraId="5F7E986D">
      <w:pPr>
        <w:spacing w:line="360" w:lineRule="auto"/>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3招标</w:t>
      </w:r>
      <w:r>
        <w:rPr>
          <w:rFonts w:hint="eastAsia" w:ascii="仿宋" w:hAnsi="仿宋" w:eastAsia="仿宋" w:cs="仿宋"/>
          <w:sz w:val="24"/>
          <w:szCs w:val="24"/>
          <w:highlight w:val="none"/>
        </w:rPr>
        <w:t>文件每套售价【300】元人民币，售后不退。</w:t>
      </w:r>
    </w:p>
    <w:p w14:paraId="22BF9DAD">
      <w:pPr>
        <w:numPr>
          <w:ilvl w:val="0"/>
          <w:numId w:val="0"/>
        </w:numPr>
        <w:spacing w:line="360" w:lineRule="auto"/>
        <w:ind w:left="0" w:leftChars="0" w:firstLine="0" w:firstLineChars="0"/>
        <w:outlineLvl w:val="1"/>
        <w:rPr>
          <w:rFonts w:ascii="仿宋" w:hAnsi="仿宋" w:eastAsia="仿宋" w:cs="仿宋"/>
          <w:b/>
          <w:bCs/>
          <w:sz w:val="24"/>
          <w:szCs w:val="21"/>
          <w:highlight w:val="none"/>
        </w:rPr>
      </w:pPr>
      <w:bookmarkStart w:id="33" w:name="_Toc347770463"/>
      <w:bookmarkStart w:id="34" w:name="_Toc325969419"/>
      <w:bookmarkStart w:id="35" w:name="_Toc347771173"/>
      <w:bookmarkStart w:id="36" w:name="_Toc325969567"/>
      <w:bookmarkStart w:id="37" w:name="_Toc383529024"/>
      <w:bookmarkStart w:id="38" w:name="_Toc325969681"/>
      <w:bookmarkStart w:id="39" w:name="_Toc149224048"/>
      <w:bookmarkStart w:id="40" w:name="_Toc148110995"/>
      <w:bookmarkStart w:id="41" w:name="_Toc21217"/>
      <w:bookmarkStart w:id="42" w:name="_Toc148111101"/>
      <w:r>
        <w:rPr>
          <w:rFonts w:hint="eastAsia" w:ascii="仿宋" w:hAnsi="仿宋" w:eastAsia="仿宋" w:cs="仿宋"/>
          <w:b/>
          <w:bCs/>
          <w:kern w:val="2"/>
          <w:sz w:val="24"/>
          <w:szCs w:val="21"/>
          <w:highlight w:val="none"/>
          <w:lang w:val="en-US" w:eastAsia="zh-CN" w:bidi="ar-SA"/>
        </w:rPr>
        <w:t>六、</w:t>
      </w:r>
      <w:r>
        <w:rPr>
          <w:rFonts w:ascii="仿宋" w:hAnsi="仿宋" w:eastAsia="仿宋" w:cs="仿宋"/>
          <w:b/>
          <w:bCs/>
          <w:sz w:val="24"/>
          <w:szCs w:val="21"/>
          <w:highlight w:val="none"/>
        </w:rPr>
        <w:t>发布公告的媒介</w:t>
      </w:r>
      <w:bookmarkEnd w:id="33"/>
      <w:bookmarkEnd w:id="34"/>
      <w:bookmarkEnd w:id="35"/>
      <w:bookmarkEnd w:id="36"/>
      <w:bookmarkEnd w:id="37"/>
      <w:bookmarkEnd w:id="38"/>
      <w:r>
        <w:rPr>
          <w:rFonts w:ascii="仿宋" w:hAnsi="仿宋" w:eastAsia="仿宋" w:cs="仿宋"/>
          <w:b/>
          <w:bCs/>
          <w:sz w:val="24"/>
          <w:szCs w:val="21"/>
          <w:highlight w:val="none"/>
        </w:rPr>
        <w:t>：</w:t>
      </w:r>
      <w:bookmarkEnd w:id="39"/>
      <w:bookmarkEnd w:id="40"/>
      <w:bookmarkEnd w:id="41"/>
      <w:bookmarkEnd w:id="42"/>
    </w:p>
    <w:p w14:paraId="6FA463EF">
      <w:pPr>
        <w:keepNext w:val="0"/>
        <w:keepLines w:val="0"/>
        <w:pageBreakBefore w:val="0"/>
        <w:widowControl w:val="0"/>
        <w:kinsoku/>
        <w:wordWrap w:val="0"/>
        <w:overflowPunct/>
        <w:topLinePunct w:val="0"/>
        <w:autoSpaceDE/>
        <w:autoSpaceDN/>
        <w:bidi w:val="0"/>
        <w:adjustRightInd/>
        <w:snapToGrid/>
        <w:spacing w:line="360" w:lineRule="auto"/>
        <w:ind w:firstLine="720" w:firstLineChars="300"/>
        <w:textAlignment w:val="auto"/>
        <w:rPr>
          <w:rFonts w:hint="eastAsia" w:ascii="仿宋" w:hAnsi="仿宋" w:eastAsia="仿宋" w:cs="仿宋"/>
          <w:sz w:val="24"/>
          <w:szCs w:val="24"/>
          <w:highlight w:val="none"/>
          <w:lang w:val="en-US" w:eastAsia="zh-CN"/>
        </w:rPr>
      </w:pPr>
      <w:bookmarkStart w:id="43" w:name="_Hlk528490864"/>
      <w:r>
        <w:rPr>
          <w:rFonts w:hint="eastAsia" w:ascii="仿宋" w:hAnsi="仿宋" w:eastAsia="仿宋" w:cs="仿宋"/>
          <w:sz w:val="24"/>
          <w:szCs w:val="24"/>
          <w:highlight w:val="none"/>
          <w:lang w:val="en-US" w:eastAsia="zh-CN"/>
        </w:rPr>
        <w:t>本招标公告同时在中国招标投标公共服务平台（http://www.cebpubservice.com/）、链捷招（ https://zb.chinaccsscm.cn/）上发布，其他媒介转载无效。</w:t>
      </w:r>
      <w:bookmarkEnd w:id="43"/>
    </w:p>
    <w:p w14:paraId="5B23607C">
      <w:pPr>
        <w:numPr>
          <w:ilvl w:val="0"/>
          <w:numId w:val="0"/>
        </w:numPr>
        <w:spacing w:line="360" w:lineRule="auto"/>
        <w:ind w:left="0" w:leftChars="0" w:firstLine="0" w:firstLineChars="0"/>
        <w:outlineLvl w:val="1"/>
        <w:rPr>
          <w:rFonts w:ascii="仿宋" w:hAnsi="仿宋" w:eastAsia="仿宋" w:cs="仿宋"/>
          <w:b/>
          <w:color w:val="000000"/>
          <w:sz w:val="24"/>
          <w:szCs w:val="21"/>
          <w:highlight w:val="none"/>
        </w:rPr>
      </w:pPr>
      <w:bookmarkStart w:id="44" w:name="_Toc3680"/>
      <w:r>
        <w:rPr>
          <w:rFonts w:hint="eastAsia" w:ascii="仿宋" w:hAnsi="仿宋" w:eastAsia="仿宋" w:cs="仿宋"/>
          <w:b/>
          <w:color w:val="000000"/>
          <w:kern w:val="2"/>
          <w:sz w:val="24"/>
          <w:szCs w:val="21"/>
          <w:highlight w:val="none"/>
          <w:lang w:val="en-US" w:eastAsia="zh-CN" w:bidi="ar-SA"/>
        </w:rPr>
        <w:t>七、</w:t>
      </w:r>
      <w:r>
        <w:rPr>
          <w:rFonts w:hint="eastAsia" w:ascii="仿宋" w:hAnsi="仿宋" w:eastAsia="仿宋" w:cs="仿宋"/>
          <w:b/>
          <w:bCs/>
          <w:sz w:val="24"/>
          <w:szCs w:val="21"/>
          <w:highlight w:val="none"/>
        </w:rPr>
        <w:t>项目说明会</w:t>
      </w:r>
      <w:bookmarkEnd w:id="30"/>
      <w:bookmarkEnd w:id="31"/>
      <w:bookmarkEnd w:id="32"/>
      <w:bookmarkEnd w:id="44"/>
    </w:p>
    <w:p w14:paraId="7149E85E">
      <w:pPr>
        <w:tabs>
          <w:tab w:val="left" w:pos="1050"/>
        </w:tabs>
        <w:spacing w:line="360" w:lineRule="auto"/>
        <w:ind w:firstLine="482" w:firstLineChars="200"/>
        <w:rPr>
          <w:rFonts w:ascii="仿宋" w:hAnsi="仿宋" w:eastAsia="仿宋" w:cs="Times New Roman"/>
          <w:sz w:val="24"/>
          <w:szCs w:val="21"/>
          <w:highlight w:val="none"/>
        </w:rPr>
      </w:pPr>
      <w:bookmarkStart w:id="45" w:name="_Toc11865"/>
      <w:r>
        <w:rPr>
          <w:rFonts w:hint="eastAsia" w:ascii="仿宋" w:hAnsi="仿宋" w:eastAsia="仿宋" w:cs="仿宋"/>
          <w:b/>
          <w:sz w:val="24"/>
          <w:szCs w:val="24"/>
          <w:highlight w:val="none"/>
          <w:lang w:val="en-US" w:eastAsia="zh-CN"/>
        </w:rPr>
        <w:t>【本项目不涉及】</w:t>
      </w:r>
      <w:bookmarkEnd w:id="45"/>
    </w:p>
    <w:p w14:paraId="686D5EA7">
      <w:pPr>
        <w:numPr>
          <w:ilvl w:val="0"/>
          <w:numId w:val="0"/>
        </w:numPr>
        <w:spacing w:line="360" w:lineRule="auto"/>
        <w:ind w:left="0" w:leftChars="0" w:firstLine="0" w:firstLineChars="0"/>
        <w:outlineLvl w:val="1"/>
        <w:rPr>
          <w:rFonts w:ascii="仿宋" w:hAnsi="仿宋" w:eastAsia="仿宋" w:cs="仿宋"/>
          <w:b/>
          <w:color w:val="000000"/>
          <w:sz w:val="24"/>
          <w:szCs w:val="21"/>
          <w:highlight w:val="none"/>
        </w:rPr>
      </w:pPr>
      <w:bookmarkStart w:id="46" w:name="_Toc20896"/>
      <w:r>
        <w:rPr>
          <w:rFonts w:hint="eastAsia" w:ascii="仿宋" w:hAnsi="仿宋" w:eastAsia="仿宋" w:cs="仿宋"/>
          <w:b/>
          <w:color w:val="000000"/>
          <w:kern w:val="2"/>
          <w:sz w:val="24"/>
          <w:szCs w:val="21"/>
          <w:highlight w:val="none"/>
          <w:lang w:val="en-US" w:eastAsia="zh-CN" w:bidi="ar-SA"/>
        </w:rPr>
        <w:t>八、</w:t>
      </w:r>
      <w:r>
        <w:rPr>
          <w:rFonts w:hint="eastAsia" w:ascii="仿宋" w:hAnsi="仿宋" w:eastAsia="仿宋" w:cs="仿宋"/>
          <w:b/>
          <w:bCs/>
          <w:sz w:val="24"/>
          <w:szCs w:val="21"/>
          <w:highlight w:val="none"/>
        </w:rPr>
        <w:t>踏勘</w:t>
      </w:r>
      <w:bookmarkEnd w:id="46"/>
      <w:bookmarkStart w:id="47" w:name="_Toc25685"/>
      <w:bookmarkStart w:id="48" w:name="_Toc150933575"/>
      <w:bookmarkStart w:id="49" w:name="_Toc149230391"/>
      <w:bookmarkStart w:id="50" w:name="_Toc108796137"/>
      <w:bookmarkStart w:id="51" w:name="_Toc4643"/>
    </w:p>
    <w:p w14:paraId="2D1EAA84">
      <w:pPr>
        <w:spacing w:line="360" w:lineRule="auto"/>
        <w:ind w:firstLine="482" w:firstLineChars="200"/>
        <w:rPr>
          <w:rFonts w:hint="eastAsia" w:ascii="仿宋" w:hAnsi="仿宋" w:eastAsia="仿宋" w:cs="仿宋"/>
          <w:sz w:val="24"/>
          <w:szCs w:val="21"/>
          <w:highlight w:val="none"/>
        </w:rPr>
      </w:pPr>
      <w:r>
        <w:rPr>
          <w:rFonts w:hint="eastAsia" w:ascii="仿宋" w:hAnsi="仿宋" w:eastAsia="仿宋" w:cs="仿宋"/>
          <w:b/>
          <w:sz w:val="24"/>
          <w:szCs w:val="24"/>
          <w:highlight w:val="none"/>
          <w:lang w:val="en-US" w:eastAsia="zh-CN"/>
        </w:rPr>
        <w:t>【本项目不涉及】</w:t>
      </w:r>
      <w:r>
        <w:rPr>
          <w:rFonts w:hint="eastAsia" w:ascii="仿宋" w:hAnsi="仿宋" w:eastAsia="仿宋" w:cs="仿宋"/>
          <w:sz w:val="24"/>
          <w:szCs w:val="21"/>
          <w:highlight w:val="none"/>
        </w:rPr>
        <w:t xml:space="preserve"> </w:t>
      </w:r>
    </w:p>
    <w:p w14:paraId="6D5D5A2A">
      <w:pPr>
        <w:widowControl w:val="0"/>
        <w:ind w:left="0" w:leftChars="0" w:firstLine="0" w:firstLineChars="0"/>
        <w:jc w:val="both"/>
        <w:rPr>
          <w:rFonts w:hint="eastAsia" w:ascii="仿宋" w:hAnsi="仿宋" w:eastAsia="仿宋" w:cs="仿宋"/>
          <w:b/>
          <w:bCs/>
          <w:kern w:val="2"/>
          <w:sz w:val="24"/>
          <w:szCs w:val="21"/>
          <w:highlight w:val="none"/>
          <w:lang w:val="en-US" w:eastAsia="zh-CN" w:bidi="ar-SA"/>
        </w:rPr>
      </w:pPr>
      <w:r>
        <w:rPr>
          <w:rFonts w:hint="eastAsia" w:ascii="仿宋" w:hAnsi="仿宋" w:eastAsia="仿宋" w:cs="仿宋"/>
          <w:b/>
          <w:bCs/>
          <w:kern w:val="2"/>
          <w:sz w:val="24"/>
          <w:szCs w:val="21"/>
          <w:highlight w:val="none"/>
          <w:lang w:val="en-US" w:eastAsia="zh-CN" w:bidi="ar-SA"/>
        </w:rPr>
        <w:t>九、样品</w:t>
      </w:r>
    </w:p>
    <w:p w14:paraId="4BFF8E87">
      <w:pPr>
        <w:spacing w:line="360" w:lineRule="auto"/>
        <w:ind w:firstLine="480" w:firstLineChars="200"/>
        <w:rPr>
          <w:rFonts w:hint="eastAsia" w:ascii="仿宋" w:hAnsi="仿宋" w:eastAsia="仿宋" w:cs="仿宋"/>
          <w:kern w:val="2"/>
          <w:sz w:val="24"/>
          <w:szCs w:val="21"/>
          <w:highlight w:val="none"/>
          <w:lang w:val="en-US" w:eastAsia="zh-CN" w:bidi="ar-SA"/>
        </w:rPr>
      </w:pPr>
      <w:bookmarkStart w:id="52" w:name="_Toc17878"/>
      <w:r>
        <w:rPr>
          <w:rFonts w:hint="eastAsia" w:ascii="仿宋" w:hAnsi="仿宋" w:eastAsia="仿宋" w:cs="仿宋"/>
          <w:sz w:val="24"/>
          <w:szCs w:val="21"/>
          <w:highlight w:val="none"/>
          <w:lang w:val="en-US" w:eastAsia="zh-CN"/>
        </w:rPr>
        <w:t>1.递交样品名称及数量如下：</w:t>
      </w:r>
    </w:p>
    <w:p w14:paraId="5E62ADF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kern w:val="2"/>
          <w:sz w:val="24"/>
          <w:szCs w:val="21"/>
          <w:highlight w:val="none"/>
          <w:lang w:val="en-US" w:eastAsia="zh-CN" w:bidi="ar-SA"/>
        </w:rPr>
      </w:pPr>
      <w:r>
        <w:rPr>
          <w:rFonts w:hint="eastAsia" w:ascii="仿宋" w:hAnsi="仿宋" w:eastAsia="仿宋" w:cs="仿宋"/>
          <w:kern w:val="2"/>
          <w:sz w:val="24"/>
          <w:szCs w:val="21"/>
          <w:highlight w:val="none"/>
          <w:lang w:val="en-US" w:eastAsia="zh-CN" w:bidi="ar-SA"/>
        </w:rPr>
        <w:t xml:space="preserve">①肉桂：需提供不少于3泡。  </w:t>
      </w:r>
    </w:p>
    <w:p w14:paraId="0A2F34A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kern w:val="2"/>
          <w:sz w:val="24"/>
          <w:szCs w:val="21"/>
          <w:highlight w:val="none"/>
          <w:lang w:val="en-US" w:eastAsia="zh-CN" w:bidi="ar-SA"/>
        </w:rPr>
      </w:pPr>
      <w:r>
        <w:rPr>
          <w:rFonts w:hint="eastAsia" w:ascii="仿宋" w:hAnsi="仿宋" w:eastAsia="仿宋" w:cs="仿宋"/>
          <w:kern w:val="2"/>
          <w:sz w:val="24"/>
          <w:szCs w:val="21"/>
          <w:highlight w:val="none"/>
          <w:lang w:val="en-US" w:eastAsia="zh-CN" w:bidi="ar-SA"/>
        </w:rPr>
        <w:t>②水仙：需提供不少于3泡。</w:t>
      </w:r>
    </w:p>
    <w:p w14:paraId="469546C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kern w:val="2"/>
          <w:sz w:val="24"/>
          <w:szCs w:val="21"/>
          <w:highlight w:val="none"/>
          <w:lang w:val="en-US" w:eastAsia="zh-CN" w:bidi="ar-SA"/>
        </w:rPr>
      </w:pPr>
      <w:r>
        <w:rPr>
          <w:rFonts w:hint="eastAsia" w:ascii="仿宋" w:hAnsi="仿宋" w:eastAsia="仿宋" w:cs="仿宋"/>
          <w:kern w:val="2"/>
          <w:sz w:val="24"/>
          <w:szCs w:val="21"/>
          <w:highlight w:val="none"/>
          <w:lang w:val="en-US" w:eastAsia="zh-CN" w:bidi="ar-SA"/>
        </w:rPr>
        <w:t>③</w:t>
      </w:r>
      <w:bookmarkStart w:id="59" w:name="_GoBack"/>
      <w:r>
        <w:rPr>
          <w:rFonts w:hint="eastAsia" w:ascii="仿宋" w:hAnsi="仿宋" w:eastAsia="仿宋" w:cs="仿宋"/>
          <w:kern w:val="2"/>
          <w:sz w:val="24"/>
          <w:szCs w:val="21"/>
          <w:highlight w:val="none"/>
          <w:lang w:val="en-US" w:eastAsia="zh-CN" w:bidi="ar-SA"/>
        </w:rPr>
        <w:t>铁观音（清香型）：需提供不少于3泡</w:t>
      </w:r>
      <w:bookmarkEnd w:id="59"/>
      <w:r>
        <w:rPr>
          <w:rFonts w:hint="eastAsia" w:ascii="仿宋" w:hAnsi="仿宋" w:eastAsia="仿宋" w:cs="仿宋"/>
          <w:kern w:val="2"/>
          <w:sz w:val="24"/>
          <w:szCs w:val="21"/>
          <w:highlight w:val="none"/>
          <w:lang w:val="en-US" w:eastAsia="zh-CN" w:bidi="ar-SA"/>
        </w:rPr>
        <w:t xml:space="preserve">。  </w:t>
      </w:r>
    </w:p>
    <w:p w14:paraId="6CBC47A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kern w:val="2"/>
          <w:sz w:val="24"/>
          <w:szCs w:val="21"/>
          <w:highlight w:val="none"/>
          <w:lang w:val="en-US" w:eastAsia="zh-CN" w:bidi="ar-SA"/>
        </w:rPr>
      </w:pPr>
      <w:r>
        <w:rPr>
          <w:rFonts w:hint="eastAsia" w:ascii="仿宋" w:hAnsi="仿宋" w:eastAsia="仿宋" w:cs="仿宋"/>
          <w:kern w:val="2"/>
          <w:sz w:val="24"/>
          <w:szCs w:val="21"/>
          <w:highlight w:val="none"/>
          <w:lang w:val="en-US" w:eastAsia="zh-CN" w:bidi="ar-SA"/>
        </w:rPr>
        <w:t xml:space="preserve">④铁观音(浓香型）：需提供不少于3泡。 </w:t>
      </w:r>
    </w:p>
    <w:p w14:paraId="006E54F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kern w:val="2"/>
          <w:sz w:val="24"/>
          <w:szCs w:val="21"/>
          <w:highlight w:val="none"/>
          <w:lang w:val="en-US" w:eastAsia="zh-CN" w:bidi="ar-SA"/>
        </w:rPr>
      </w:pPr>
      <w:r>
        <w:rPr>
          <w:rFonts w:hint="eastAsia" w:ascii="仿宋" w:hAnsi="仿宋" w:eastAsia="仿宋" w:cs="仿宋"/>
          <w:kern w:val="2"/>
          <w:sz w:val="24"/>
          <w:szCs w:val="21"/>
          <w:highlight w:val="none"/>
          <w:lang w:val="en-US" w:eastAsia="zh-CN" w:bidi="ar-SA"/>
        </w:rPr>
        <w:t>⑤岩茶（大红袍）：需提供不少于3泡。</w:t>
      </w:r>
    </w:p>
    <w:p w14:paraId="528BB35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kern w:val="2"/>
          <w:sz w:val="24"/>
          <w:szCs w:val="21"/>
          <w:highlight w:val="none"/>
          <w:lang w:val="en-US" w:eastAsia="zh-CN" w:bidi="ar-SA"/>
        </w:rPr>
      </w:pPr>
      <w:r>
        <w:rPr>
          <w:rFonts w:hint="eastAsia" w:ascii="仿宋" w:hAnsi="仿宋" w:eastAsia="仿宋" w:cs="仿宋"/>
          <w:kern w:val="2"/>
          <w:sz w:val="24"/>
          <w:szCs w:val="21"/>
          <w:highlight w:val="none"/>
          <w:lang w:val="en-US" w:eastAsia="zh-CN" w:bidi="ar-SA"/>
        </w:rPr>
        <w:t>⑥茶叶礼盒：需提供壹套完整的茶叶礼盒（含手提袋、茶叶礼盒、每泡茶的包装袋）</w:t>
      </w:r>
    </w:p>
    <w:p w14:paraId="69F3D6A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仿宋" w:hAnsi="仿宋" w:eastAsia="仿宋" w:cs="仿宋"/>
          <w:kern w:val="2"/>
          <w:sz w:val="24"/>
          <w:szCs w:val="21"/>
          <w:highlight w:val="none"/>
          <w:lang w:val="en-US" w:eastAsia="zh-CN" w:bidi="ar-SA"/>
        </w:rPr>
      </w:pPr>
      <w:r>
        <w:rPr>
          <w:rFonts w:hint="eastAsia" w:ascii="仿宋" w:hAnsi="仿宋" w:eastAsia="仿宋" w:cs="仿宋"/>
          <w:kern w:val="2"/>
          <w:sz w:val="24"/>
          <w:szCs w:val="21"/>
          <w:highlight w:val="none"/>
          <w:lang w:val="en-US" w:eastAsia="zh-CN" w:bidi="ar-SA"/>
        </w:rPr>
        <w:t>⑦茶具：如投标人条件允许提供一套简易的茶具用于专家品鉴茶（此款投标人自行选择，非强制要求）</w:t>
      </w:r>
    </w:p>
    <w:p w14:paraId="4598C00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kern w:val="2"/>
          <w:sz w:val="24"/>
          <w:szCs w:val="21"/>
          <w:highlight w:val="none"/>
          <w:lang w:val="en-US" w:eastAsia="zh-CN" w:bidi="ar-SA"/>
        </w:rPr>
      </w:pPr>
      <w:r>
        <w:rPr>
          <w:rFonts w:hint="eastAsia" w:ascii="仿宋" w:hAnsi="仿宋" w:eastAsia="仿宋" w:cs="仿宋"/>
          <w:kern w:val="2"/>
          <w:sz w:val="24"/>
          <w:szCs w:val="21"/>
          <w:highlight w:val="none"/>
          <w:lang w:val="en-US" w:eastAsia="zh-CN" w:bidi="ar-SA"/>
        </w:rPr>
        <w:t>注：具体详见“第三部分 评标办法”及“第五部分 采购需求书”。</w:t>
      </w:r>
    </w:p>
    <w:p w14:paraId="01CBDA93">
      <w:pPr>
        <w:spacing w:line="360" w:lineRule="auto"/>
        <w:ind w:firstLine="480" w:firstLineChars="200"/>
        <w:rPr>
          <w:rFonts w:hint="eastAsia" w:ascii="仿宋" w:hAnsi="仿宋" w:eastAsia="仿宋" w:cs="仿宋"/>
          <w:sz w:val="24"/>
          <w:szCs w:val="21"/>
          <w:highlight w:val="none"/>
          <w:lang w:val="en-US" w:eastAsia="zh-CN"/>
        </w:rPr>
      </w:pPr>
      <w:r>
        <w:rPr>
          <w:rFonts w:hint="eastAsia" w:ascii="仿宋" w:hAnsi="仿宋" w:eastAsia="仿宋" w:cs="仿宋"/>
          <w:sz w:val="24"/>
          <w:szCs w:val="21"/>
          <w:highlight w:val="none"/>
          <w:lang w:val="en-US" w:eastAsia="zh-CN"/>
        </w:rPr>
        <w:t>2.</w:t>
      </w:r>
      <w:r>
        <w:rPr>
          <w:rFonts w:hint="eastAsia" w:ascii="仿宋" w:hAnsi="仿宋" w:eastAsia="仿宋" w:cs="仿宋"/>
          <w:b/>
          <w:bCs/>
          <w:sz w:val="24"/>
          <w:szCs w:val="21"/>
          <w:highlight w:val="yellow"/>
        </w:rPr>
        <w:t>样品递交的时间</w:t>
      </w:r>
      <w:r>
        <w:rPr>
          <w:rFonts w:hint="eastAsia" w:ascii="仿宋" w:hAnsi="仿宋" w:eastAsia="仿宋" w:cs="仿宋"/>
          <w:b/>
          <w:bCs/>
          <w:sz w:val="24"/>
          <w:szCs w:val="21"/>
          <w:highlight w:val="yellow"/>
          <w:lang w:eastAsia="zh-CN"/>
        </w:rPr>
        <w:t>：</w:t>
      </w:r>
      <w:r>
        <w:rPr>
          <w:rFonts w:hint="eastAsia" w:ascii="仿宋" w:hAnsi="仿宋" w:eastAsia="仿宋" w:cs="仿宋"/>
          <w:b/>
          <w:bCs/>
          <w:sz w:val="24"/>
          <w:szCs w:val="21"/>
          <w:highlight w:val="yellow"/>
          <w:lang w:val="en-US" w:eastAsia="zh-CN"/>
        </w:rPr>
        <w:t>2026年1月05日09时00分至17时30分（投标人须在规定时间内递交样品，否则不予接收，样品可邮寄，也可现场递交。）</w:t>
      </w:r>
    </w:p>
    <w:p w14:paraId="37E2D3AD">
      <w:pPr>
        <w:spacing w:line="360" w:lineRule="auto"/>
        <w:ind w:firstLine="480" w:firstLineChars="200"/>
        <w:rPr>
          <w:rFonts w:hint="eastAsia" w:ascii="仿宋" w:hAnsi="仿宋" w:eastAsia="仿宋" w:cs="仿宋"/>
          <w:sz w:val="24"/>
          <w:szCs w:val="21"/>
          <w:highlight w:val="none"/>
          <w:lang w:val="en-US" w:eastAsia="zh-CN"/>
        </w:rPr>
      </w:pPr>
      <w:r>
        <w:rPr>
          <w:rFonts w:hint="eastAsia" w:ascii="仿宋" w:hAnsi="仿宋" w:eastAsia="仿宋" w:cs="仿宋"/>
          <w:sz w:val="24"/>
          <w:szCs w:val="21"/>
          <w:highlight w:val="none"/>
          <w:lang w:val="en-US" w:eastAsia="zh-CN"/>
        </w:rPr>
        <w:t>3.</w:t>
      </w:r>
      <w:r>
        <w:rPr>
          <w:rFonts w:hint="eastAsia" w:ascii="仿宋" w:hAnsi="仿宋" w:eastAsia="仿宋" w:cs="仿宋"/>
          <w:sz w:val="24"/>
          <w:szCs w:val="21"/>
          <w:highlight w:val="none"/>
        </w:rPr>
        <w:t>样品递交的地点：</w:t>
      </w:r>
      <w:r>
        <w:rPr>
          <w:rFonts w:hint="eastAsia" w:ascii="仿宋" w:hAnsi="仿宋" w:eastAsia="仿宋" w:cs="仿宋"/>
          <w:sz w:val="24"/>
          <w:szCs w:val="24"/>
          <w:highlight w:val="none"/>
        </w:rPr>
        <w:t>福建省中通通信有限公司，福州市仓山区信平路10号6</w:t>
      </w:r>
      <w:r>
        <w:rPr>
          <w:rFonts w:hint="eastAsia" w:ascii="仿宋" w:hAnsi="仿宋" w:eastAsia="仿宋" w:cs="仿宋"/>
          <w:sz w:val="24"/>
          <w:szCs w:val="24"/>
          <w:highlight w:val="none"/>
          <w:lang w:val="en-US" w:eastAsia="zh-CN"/>
        </w:rPr>
        <w:t>楼</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第四会议室</w:t>
      </w:r>
      <w:r>
        <w:rPr>
          <w:rFonts w:hint="eastAsia" w:ascii="仿宋" w:hAnsi="仿宋" w:eastAsia="仿宋" w:cs="仿宋"/>
          <w:sz w:val="24"/>
          <w:szCs w:val="24"/>
          <w:highlight w:val="none"/>
        </w:rPr>
        <w:t>】</w:t>
      </w:r>
    </w:p>
    <w:p w14:paraId="1D2D397C">
      <w:pPr>
        <w:spacing w:line="360" w:lineRule="auto"/>
        <w:ind w:firstLine="480" w:firstLineChars="200"/>
        <w:rPr>
          <w:rFonts w:hint="eastAsia" w:ascii="宋体" w:hAnsi="宋体" w:eastAsia="仿宋" w:cs="仿宋"/>
          <w:b/>
          <w:bCs/>
          <w:color w:val="000000"/>
          <w:sz w:val="24"/>
          <w:szCs w:val="21"/>
          <w:highlight w:val="none"/>
          <w:lang w:val="en-US" w:eastAsia="zh-CN"/>
        </w:rPr>
      </w:pPr>
      <w:r>
        <w:rPr>
          <w:rFonts w:hint="eastAsia" w:ascii="仿宋" w:hAnsi="仿宋" w:eastAsia="仿宋" w:cs="仿宋"/>
          <w:sz w:val="24"/>
          <w:szCs w:val="21"/>
          <w:highlight w:val="none"/>
          <w:lang w:val="en-US" w:eastAsia="zh-CN"/>
        </w:rPr>
        <w:t>4.样品接收人及联系方式：</w:t>
      </w:r>
    </w:p>
    <w:p w14:paraId="08EF213B">
      <w:pPr>
        <w:numPr>
          <w:ilvl w:val="0"/>
          <w:numId w:val="0"/>
        </w:numPr>
        <w:spacing w:line="360" w:lineRule="auto"/>
        <w:ind w:left="0" w:leftChars="0" w:firstLine="480" w:firstLineChars="200"/>
        <w:outlineLvl w:val="1"/>
        <w:rPr>
          <w:rFonts w:hint="eastAsia" w:ascii="仿宋" w:hAnsi="仿宋" w:eastAsia="仿宋" w:cs="仿宋"/>
          <w:b w:val="0"/>
          <w:bCs w:val="0"/>
          <w:sz w:val="24"/>
          <w:szCs w:val="21"/>
          <w:highlight w:val="none"/>
          <w:lang w:eastAsia="zh-CN"/>
        </w:rPr>
      </w:pPr>
      <w:bookmarkStart w:id="53" w:name="_Toc20665"/>
      <w:r>
        <w:rPr>
          <w:rFonts w:hint="eastAsia" w:ascii="仿宋" w:hAnsi="仿宋" w:eastAsia="仿宋" w:cs="仿宋"/>
          <w:sz w:val="24"/>
          <w:szCs w:val="21"/>
          <w:highlight w:val="none"/>
          <w:lang w:val="en-US" w:eastAsia="zh-CN"/>
        </w:rPr>
        <w:t>5.</w:t>
      </w:r>
      <w:r>
        <w:rPr>
          <w:rFonts w:hint="eastAsia" w:ascii="仿宋" w:hAnsi="仿宋" w:eastAsia="仿宋" w:cs="仿宋"/>
          <w:b w:val="0"/>
          <w:bCs w:val="0"/>
          <w:sz w:val="24"/>
          <w:szCs w:val="21"/>
          <w:highlight w:val="none"/>
        </w:rPr>
        <w:t>投标人提供的样品作为本次评审依据</w:t>
      </w:r>
      <w:r>
        <w:rPr>
          <w:rFonts w:hint="eastAsia" w:ascii="仿宋" w:hAnsi="仿宋" w:eastAsia="仿宋" w:cs="仿宋"/>
          <w:b w:val="0"/>
          <w:bCs w:val="0"/>
          <w:sz w:val="24"/>
          <w:szCs w:val="21"/>
          <w:highlight w:val="none"/>
          <w:lang w:val="en-US" w:eastAsia="zh-CN"/>
        </w:rPr>
        <w:t>并全部不予退回</w:t>
      </w:r>
      <w:r>
        <w:rPr>
          <w:rFonts w:hint="eastAsia" w:ascii="仿宋" w:hAnsi="仿宋" w:eastAsia="仿宋" w:cs="仿宋"/>
          <w:b w:val="0"/>
          <w:bCs w:val="0"/>
          <w:sz w:val="24"/>
          <w:szCs w:val="21"/>
          <w:highlight w:val="none"/>
        </w:rPr>
        <w:t>，由此造成的相关费用由投标人自行承担。评标结束后，</w:t>
      </w:r>
      <w:r>
        <w:rPr>
          <w:rFonts w:hint="eastAsia" w:ascii="仿宋" w:hAnsi="仿宋" w:eastAsia="仿宋" w:cs="仿宋"/>
          <w:b w:val="0"/>
          <w:bCs w:val="0"/>
          <w:sz w:val="24"/>
          <w:szCs w:val="21"/>
          <w:highlight w:val="none"/>
          <w:lang w:val="en-US" w:eastAsia="zh-CN"/>
        </w:rPr>
        <w:t>招标人</w:t>
      </w:r>
      <w:r>
        <w:rPr>
          <w:rFonts w:hint="eastAsia" w:ascii="仿宋" w:hAnsi="仿宋" w:eastAsia="仿宋" w:cs="仿宋"/>
          <w:b w:val="0"/>
          <w:bCs w:val="0"/>
          <w:sz w:val="24"/>
          <w:szCs w:val="21"/>
          <w:highlight w:val="none"/>
        </w:rPr>
        <w:t>有权对中标人的样品封存保留作为测试验收依据,若</w:t>
      </w:r>
      <w:r>
        <w:rPr>
          <w:rFonts w:hint="eastAsia" w:ascii="仿宋" w:hAnsi="仿宋" w:eastAsia="仿宋" w:cs="仿宋"/>
          <w:b w:val="0"/>
          <w:bCs w:val="0"/>
          <w:sz w:val="24"/>
          <w:szCs w:val="21"/>
          <w:highlight w:val="none"/>
          <w:lang w:val="en-US" w:eastAsia="zh-CN"/>
        </w:rPr>
        <w:t>中标后</w:t>
      </w:r>
      <w:r>
        <w:rPr>
          <w:rFonts w:hint="eastAsia" w:ascii="仿宋" w:hAnsi="仿宋" w:eastAsia="仿宋" w:cs="仿宋"/>
          <w:b w:val="0"/>
          <w:bCs w:val="0"/>
          <w:sz w:val="24"/>
          <w:szCs w:val="21"/>
          <w:highlight w:val="none"/>
        </w:rPr>
        <w:t>所提供</w:t>
      </w:r>
      <w:r>
        <w:rPr>
          <w:rFonts w:hint="eastAsia" w:ascii="仿宋" w:hAnsi="仿宋" w:eastAsia="仿宋" w:cs="仿宋"/>
          <w:b w:val="0"/>
          <w:bCs w:val="0"/>
          <w:sz w:val="24"/>
          <w:szCs w:val="21"/>
          <w:highlight w:val="none"/>
          <w:lang w:val="en-US" w:eastAsia="zh-CN"/>
        </w:rPr>
        <w:t>货物</w:t>
      </w:r>
      <w:r>
        <w:rPr>
          <w:rFonts w:hint="eastAsia" w:ascii="仿宋" w:hAnsi="仿宋" w:eastAsia="仿宋" w:cs="仿宋"/>
          <w:b w:val="0"/>
          <w:bCs w:val="0"/>
          <w:sz w:val="24"/>
          <w:szCs w:val="21"/>
          <w:highlight w:val="none"/>
        </w:rPr>
        <w:t>与样品不符</w:t>
      </w:r>
      <w:r>
        <w:rPr>
          <w:rFonts w:hint="eastAsia" w:ascii="仿宋" w:hAnsi="仿宋" w:eastAsia="仿宋" w:cs="仿宋"/>
          <w:b w:val="0"/>
          <w:bCs w:val="0"/>
          <w:sz w:val="24"/>
          <w:szCs w:val="21"/>
          <w:highlight w:val="none"/>
          <w:lang w:eastAsia="zh-CN"/>
        </w:rPr>
        <w:t>（</w:t>
      </w:r>
      <w:r>
        <w:rPr>
          <w:rFonts w:hint="eastAsia" w:ascii="仿宋" w:hAnsi="仿宋" w:eastAsia="仿宋" w:cs="仿宋"/>
          <w:b w:val="0"/>
          <w:bCs w:val="0"/>
          <w:sz w:val="24"/>
          <w:szCs w:val="21"/>
          <w:highlight w:val="none"/>
          <w:lang w:val="en-US" w:eastAsia="zh-CN"/>
        </w:rPr>
        <w:t>或差距较大的</w:t>
      </w:r>
      <w:r>
        <w:rPr>
          <w:rFonts w:hint="eastAsia" w:ascii="仿宋" w:hAnsi="仿宋" w:eastAsia="仿宋" w:cs="仿宋"/>
          <w:b w:val="0"/>
          <w:bCs w:val="0"/>
          <w:sz w:val="24"/>
          <w:szCs w:val="21"/>
          <w:highlight w:val="none"/>
          <w:lang w:eastAsia="zh-CN"/>
        </w:rPr>
        <w:t>）</w:t>
      </w:r>
      <w:r>
        <w:rPr>
          <w:rFonts w:hint="eastAsia" w:ascii="仿宋" w:hAnsi="仿宋" w:eastAsia="仿宋" w:cs="仿宋"/>
          <w:b w:val="0"/>
          <w:bCs w:val="0"/>
          <w:sz w:val="24"/>
          <w:szCs w:val="21"/>
          <w:highlight w:val="none"/>
        </w:rPr>
        <w:t>，则</w:t>
      </w:r>
      <w:r>
        <w:rPr>
          <w:rFonts w:hint="eastAsia" w:ascii="仿宋" w:hAnsi="仿宋" w:eastAsia="仿宋" w:cs="仿宋"/>
          <w:b w:val="0"/>
          <w:bCs w:val="0"/>
          <w:sz w:val="24"/>
          <w:szCs w:val="21"/>
          <w:highlight w:val="none"/>
          <w:lang w:val="en-US" w:eastAsia="zh-CN"/>
        </w:rPr>
        <w:t>招标人</w:t>
      </w:r>
      <w:r>
        <w:rPr>
          <w:rFonts w:hint="eastAsia" w:ascii="仿宋" w:hAnsi="仿宋" w:eastAsia="仿宋" w:cs="仿宋"/>
          <w:b w:val="0"/>
          <w:bCs w:val="0"/>
          <w:sz w:val="24"/>
          <w:szCs w:val="21"/>
          <w:highlight w:val="none"/>
        </w:rPr>
        <w:t>有权退货，中标人按合同规定进行赔偿或</w:t>
      </w:r>
      <w:r>
        <w:rPr>
          <w:rFonts w:hint="eastAsia" w:ascii="仿宋" w:hAnsi="仿宋" w:eastAsia="仿宋" w:cs="仿宋"/>
          <w:b w:val="0"/>
          <w:bCs w:val="0"/>
          <w:sz w:val="24"/>
          <w:szCs w:val="21"/>
          <w:highlight w:val="none"/>
          <w:lang w:val="en-US" w:eastAsia="zh-CN"/>
        </w:rPr>
        <w:t>招标</w:t>
      </w:r>
      <w:r>
        <w:rPr>
          <w:rFonts w:hint="eastAsia" w:ascii="仿宋" w:hAnsi="仿宋" w:eastAsia="仿宋" w:cs="仿宋"/>
          <w:b w:val="0"/>
          <w:bCs w:val="0"/>
          <w:sz w:val="24"/>
          <w:szCs w:val="21"/>
          <w:highlight w:val="none"/>
        </w:rPr>
        <w:t>人暂时使用中标人提供的与样品不符的货物，直至中标人重新提供与样品相符（或更优）的货物</w:t>
      </w:r>
      <w:r>
        <w:rPr>
          <w:rFonts w:hint="eastAsia" w:ascii="仿宋" w:hAnsi="仿宋" w:eastAsia="仿宋" w:cs="仿宋"/>
          <w:b w:val="0"/>
          <w:bCs w:val="0"/>
          <w:sz w:val="24"/>
          <w:szCs w:val="21"/>
          <w:highlight w:val="none"/>
          <w:lang w:eastAsia="zh-CN"/>
        </w:rPr>
        <w:t>。</w:t>
      </w:r>
      <w:bookmarkEnd w:id="53"/>
    </w:p>
    <w:p w14:paraId="0887D984">
      <w:pPr>
        <w:numPr>
          <w:ilvl w:val="0"/>
          <w:numId w:val="0"/>
        </w:numPr>
        <w:spacing w:line="360" w:lineRule="auto"/>
        <w:ind w:left="0" w:leftChars="0" w:firstLine="0" w:firstLineChars="0"/>
        <w:outlineLvl w:val="1"/>
        <w:rPr>
          <w:rFonts w:ascii="仿宋" w:hAnsi="仿宋" w:eastAsia="仿宋" w:cs="仿宋"/>
          <w:b/>
          <w:bCs/>
          <w:sz w:val="24"/>
          <w:szCs w:val="21"/>
          <w:highlight w:val="none"/>
        </w:rPr>
      </w:pPr>
      <w:r>
        <w:rPr>
          <w:rFonts w:hint="eastAsia" w:ascii="仿宋" w:hAnsi="仿宋" w:eastAsia="仿宋" w:cs="仿宋"/>
          <w:b/>
          <w:bCs/>
          <w:kern w:val="2"/>
          <w:sz w:val="24"/>
          <w:szCs w:val="21"/>
          <w:highlight w:val="none"/>
          <w:lang w:val="en-US" w:eastAsia="zh-CN" w:bidi="ar-SA"/>
        </w:rPr>
        <w:t>十、</w:t>
      </w:r>
      <w:r>
        <w:rPr>
          <w:rFonts w:hint="eastAsia" w:ascii="仿宋" w:hAnsi="仿宋" w:eastAsia="仿宋" w:cs="仿宋"/>
          <w:b/>
          <w:bCs/>
          <w:sz w:val="24"/>
          <w:szCs w:val="21"/>
          <w:highlight w:val="none"/>
        </w:rPr>
        <w:t>开标及投标：</w:t>
      </w:r>
      <w:bookmarkEnd w:id="47"/>
      <w:bookmarkEnd w:id="48"/>
      <w:bookmarkEnd w:id="49"/>
      <w:bookmarkEnd w:id="50"/>
      <w:bookmarkEnd w:id="51"/>
      <w:bookmarkEnd w:id="52"/>
      <w:bookmarkStart w:id="54" w:name="_Toc149230392"/>
      <w:bookmarkStart w:id="55" w:name="_Toc150933576"/>
    </w:p>
    <w:p w14:paraId="69F183EB">
      <w:pPr>
        <w:spacing w:line="360" w:lineRule="auto"/>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投标文件递交截止时间（即</w:t>
      </w:r>
      <w:r>
        <w:rPr>
          <w:rFonts w:hint="eastAsia" w:ascii="仿宋" w:hAnsi="仿宋" w:eastAsia="仿宋" w:cs="仿宋"/>
          <w:sz w:val="24"/>
          <w:szCs w:val="24"/>
          <w:highlight w:val="none"/>
          <w:lang w:val="en-US" w:eastAsia="zh-CN"/>
        </w:rPr>
        <w:t>开标</w:t>
      </w:r>
      <w:r>
        <w:rPr>
          <w:rFonts w:hint="eastAsia" w:ascii="仿宋" w:hAnsi="仿宋" w:eastAsia="仿宋" w:cs="仿宋"/>
          <w:sz w:val="24"/>
          <w:szCs w:val="24"/>
          <w:highlight w:val="none"/>
        </w:rPr>
        <w:t>时间）为：【20</w:t>
      </w:r>
      <w:r>
        <w:rPr>
          <w:rFonts w:hint="eastAsia" w:ascii="仿宋" w:hAnsi="仿宋" w:eastAsia="仿宋" w:cs="仿宋"/>
          <w:sz w:val="24"/>
          <w:szCs w:val="24"/>
          <w:highlight w:val="none"/>
          <w:lang w:val="en-US" w:eastAsia="zh-CN"/>
        </w:rPr>
        <w:t>26</w:t>
      </w:r>
      <w:r>
        <w:rPr>
          <w:rFonts w:hint="eastAsia" w:ascii="仿宋" w:hAnsi="仿宋" w:eastAsia="仿宋" w:cs="仿宋"/>
          <w:sz w:val="24"/>
          <w:szCs w:val="24"/>
          <w:highlight w:val="none"/>
        </w:rPr>
        <w:t>年</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日</w:t>
      </w:r>
      <w:r>
        <w:rPr>
          <w:rFonts w:hint="eastAsia" w:ascii="仿宋" w:hAnsi="仿宋" w:eastAsia="仿宋" w:cs="仿宋"/>
          <w:sz w:val="24"/>
          <w:szCs w:val="24"/>
          <w:highlight w:val="none"/>
          <w:lang w:val="en-US" w:eastAsia="zh-CN"/>
        </w:rPr>
        <w:t>09</w:t>
      </w:r>
      <w:r>
        <w:rPr>
          <w:rFonts w:hint="eastAsia" w:ascii="仿宋" w:hAnsi="仿宋" w:eastAsia="仿宋" w:cs="仿宋"/>
          <w:sz w:val="24"/>
          <w:szCs w:val="24"/>
          <w:highlight w:val="none"/>
        </w:rPr>
        <w:t>时</w:t>
      </w:r>
      <w:r>
        <w:rPr>
          <w:rFonts w:hint="eastAsia" w:ascii="仿宋" w:hAnsi="仿宋" w:eastAsia="仿宋" w:cs="仿宋"/>
          <w:sz w:val="24"/>
          <w:szCs w:val="24"/>
          <w:highlight w:val="none"/>
          <w:lang w:val="en-US" w:eastAsia="zh-CN"/>
        </w:rPr>
        <w:t>00</w:t>
      </w:r>
      <w:r>
        <w:rPr>
          <w:rFonts w:hint="eastAsia" w:ascii="仿宋" w:hAnsi="仿宋" w:eastAsia="仿宋" w:cs="仿宋"/>
          <w:sz w:val="24"/>
          <w:szCs w:val="24"/>
          <w:highlight w:val="none"/>
        </w:rPr>
        <w:t>分】。逾期送达或不符合规定的投标文件恕不接受。</w:t>
      </w:r>
    </w:p>
    <w:p w14:paraId="278FCBB8">
      <w:pPr>
        <w:spacing w:line="360" w:lineRule="auto"/>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开标及递交投标文件地点：</w:t>
      </w:r>
      <w:r>
        <w:rPr>
          <w:rFonts w:hint="eastAsia" w:ascii="仿宋" w:hAnsi="仿宋" w:eastAsia="仿宋" w:cs="仿宋"/>
          <w:sz w:val="24"/>
          <w:szCs w:val="24"/>
          <w:highlight w:val="none"/>
          <w:lang w:eastAsia="zh-CN"/>
        </w:rPr>
        <w:t>福建省中通通信有限公司</w:t>
      </w:r>
      <w:r>
        <w:rPr>
          <w:rFonts w:hint="eastAsia" w:ascii="仿宋" w:hAnsi="仿宋" w:eastAsia="仿宋" w:cs="仿宋"/>
          <w:sz w:val="24"/>
          <w:szCs w:val="24"/>
          <w:highlight w:val="none"/>
        </w:rPr>
        <w:t>，福州市仓山区信平路10号6</w:t>
      </w:r>
      <w:r>
        <w:rPr>
          <w:rFonts w:hint="eastAsia" w:ascii="仿宋" w:hAnsi="仿宋" w:eastAsia="仿宋" w:cs="仿宋"/>
          <w:sz w:val="24"/>
          <w:szCs w:val="24"/>
          <w:highlight w:val="none"/>
          <w:lang w:val="en-US" w:eastAsia="zh-CN"/>
        </w:rPr>
        <w:t>楼</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第四会议室</w:t>
      </w:r>
      <w:r>
        <w:rPr>
          <w:rFonts w:hint="eastAsia" w:ascii="仿宋" w:hAnsi="仿宋" w:eastAsia="仿宋" w:cs="仿宋"/>
          <w:sz w:val="24"/>
          <w:szCs w:val="24"/>
          <w:highlight w:val="none"/>
        </w:rPr>
        <w:t>】。</w:t>
      </w:r>
    </w:p>
    <w:p w14:paraId="64FF553A">
      <w:pPr>
        <w:spacing w:line="360" w:lineRule="auto"/>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如</w:t>
      </w:r>
      <w:r>
        <w:rPr>
          <w:rFonts w:hint="eastAsia" w:ascii="仿宋" w:hAnsi="仿宋" w:eastAsia="仿宋" w:cs="仿宋"/>
          <w:sz w:val="24"/>
          <w:szCs w:val="24"/>
          <w:highlight w:val="none"/>
        </w:rPr>
        <w:t>使用邮寄方式，投标人应为投标文件预留出足够的邮寄时间，逾期不接收，因邮寄或快递的原因未在开标截止时间前送达指定地点的，一切责任由投标人负责。【文件寄出后第一时间将邮寄、快递凭证通过邮件方式发送招标代理机构邮箱】</w:t>
      </w:r>
    </w:p>
    <w:p w14:paraId="6ADCE2F2">
      <w:pPr>
        <w:spacing w:line="360" w:lineRule="auto"/>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本项目将于上述同一时间、地点进行开标，【招标人/招标代理机构】邀请投标人的法定代表人/负责人或者其委托代理人准时参加。</w:t>
      </w:r>
    </w:p>
    <w:p w14:paraId="5A20EECC">
      <w:pPr>
        <w:spacing w:line="360" w:lineRule="auto"/>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招标文件要求递交纸质投标文件的，出现以下情形之一时，【招标人/招标代理机构】不予接收：</w:t>
      </w:r>
    </w:p>
    <w:p w14:paraId="65C48546">
      <w:pPr>
        <w:spacing w:line="360" w:lineRule="auto"/>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.1逾期送达或者未送达指定地点的；</w:t>
      </w:r>
    </w:p>
    <w:p w14:paraId="35585995">
      <w:pPr>
        <w:spacing w:line="360" w:lineRule="auto"/>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.2未按照招标文件要求密封的；</w:t>
      </w:r>
    </w:p>
    <w:p w14:paraId="7BE06B2A">
      <w:pPr>
        <w:spacing w:line="360" w:lineRule="auto"/>
        <w:ind w:firstLine="720" w:firstLineChars="300"/>
        <w:rPr>
          <w:rFonts w:ascii="仿宋" w:hAnsi="仿宋" w:eastAsia="仿宋" w:cs="仿宋"/>
          <w:sz w:val="24"/>
          <w:szCs w:val="21"/>
          <w:highlight w:val="none"/>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.3未按照本公告要求获得本项目招标文件的。</w:t>
      </w:r>
    </w:p>
    <w:p w14:paraId="7D183021">
      <w:pPr>
        <w:numPr>
          <w:ilvl w:val="0"/>
          <w:numId w:val="0"/>
        </w:numPr>
        <w:spacing w:line="360" w:lineRule="auto"/>
        <w:ind w:left="0" w:leftChars="0" w:firstLine="0" w:firstLineChars="0"/>
        <w:outlineLvl w:val="1"/>
        <w:rPr>
          <w:rFonts w:ascii="仿宋" w:hAnsi="仿宋" w:eastAsia="仿宋" w:cs="仿宋"/>
          <w:b/>
          <w:sz w:val="24"/>
          <w:szCs w:val="21"/>
          <w:highlight w:val="none"/>
        </w:rPr>
      </w:pPr>
      <w:bookmarkStart w:id="56" w:name="_Toc4546"/>
      <w:r>
        <w:rPr>
          <w:rFonts w:hint="eastAsia" w:ascii="仿宋" w:hAnsi="仿宋" w:eastAsia="仿宋" w:cs="仿宋"/>
          <w:b/>
          <w:kern w:val="2"/>
          <w:sz w:val="24"/>
          <w:szCs w:val="21"/>
          <w:highlight w:val="none"/>
          <w:lang w:val="en-US" w:eastAsia="zh-CN" w:bidi="ar-SA"/>
        </w:rPr>
        <w:t>十一、</w:t>
      </w:r>
      <w:r>
        <w:rPr>
          <w:rFonts w:hint="eastAsia" w:ascii="仿宋" w:hAnsi="仿宋" w:eastAsia="仿宋" w:cs="仿宋"/>
          <w:b/>
          <w:bCs/>
          <w:sz w:val="24"/>
          <w:szCs w:val="21"/>
          <w:highlight w:val="none"/>
        </w:rPr>
        <w:t>监督举报方式：</w:t>
      </w:r>
      <w:bookmarkEnd w:id="56"/>
    </w:p>
    <w:p w14:paraId="389599FA">
      <w:pPr>
        <w:widowControl w:val="0"/>
        <w:ind w:firstLine="471"/>
        <w:jc w:val="left"/>
        <w:rPr>
          <w:rFonts w:ascii="仿宋" w:hAnsi="仿宋" w:eastAsia="仿宋" w:cs="Times New Roman"/>
          <w:kern w:val="2"/>
          <w:sz w:val="24"/>
          <w:szCs w:val="21"/>
          <w:highlight w:val="none"/>
          <w:lang w:val="en-US" w:eastAsia="zh-CN" w:bidi="ar-SA"/>
        </w:rPr>
      </w:pPr>
      <w:r>
        <w:rPr>
          <w:rFonts w:hint="eastAsia" w:ascii="仿宋" w:hAnsi="仿宋" w:eastAsia="仿宋" w:cs="Times New Roman"/>
          <w:kern w:val="2"/>
          <w:sz w:val="24"/>
          <w:szCs w:val="21"/>
          <w:highlight w:val="none"/>
          <w:lang w:val="en-US" w:eastAsia="zh-CN" w:bidi="ar-SA"/>
        </w:rPr>
        <w:t>供应商与采购人在接触及合作过程中，如遇采购人部门或员工的违法、违纪、违规等问题，可向采购人纪委办公室反映和举报。采购人保护举报人的合法权益，严肃处理打击报复的行为。</w:t>
      </w:r>
    </w:p>
    <w:p w14:paraId="063A2275">
      <w:pPr>
        <w:spacing w:line="360" w:lineRule="auto"/>
        <w:ind w:firstLine="480" w:firstLineChars="200"/>
        <w:rPr>
          <w:rFonts w:hint="eastAsia" w:ascii="仿宋" w:hAnsi="仿宋" w:eastAsia="仿宋" w:cs="仿宋"/>
          <w:b w:val="0"/>
          <w:bCs/>
          <w:sz w:val="24"/>
          <w:szCs w:val="24"/>
          <w:highlight w:val="none"/>
          <w:lang w:val="en-US" w:eastAsia="zh-CN"/>
        </w:rPr>
      </w:pPr>
      <w:r>
        <w:rPr>
          <w:rFonts w:hint="eastAsia" w:ascii="仿宋" w:hAnsi="仿宋" w:eastAsia="仿宋" w:cs="仿宋"/>
          <w:b w:val="0"/>
          <w:bCs/>
          <w:sz w:val="24"/>
          <w:szCs w:val="24"/>
          <w:highlight w:val="none"/>
          <w:lang w:val="en-US" w:eastAsia="zh-CN"/>
        </w:rPr>
        <w:t>举报电话：0595-22152912</w:t>
      </w:r>
    </w:p>
    <w:p w14:paraId="66B10016">
      <w:pPr>
        <w:widowControl w:val="0"/>
        <w:spacing w:after="120"/>
        <w:ind w:left="0" w:leftChars="0" w:firstLine="480" w:firstLineChars="200"/>
        <w:jc w:val="both"/>
        <w:rPr>
          <w:rFonts w:ascii="仿宋" w:hAnsi="仿宋" w:eastAsia="仿宋" w:cs="Times New Roman"/>
          <w:kern w:val="2"/>
          <w:sz w:val="24"/>
          <w:szCs w:val="24"/>
          <w:highlight w:val="none"/>
          <w:lang w:val="en-US" w:eastAsia="zh-CN" w:bidi="ar-SA"/>
        </w:rPr>
      </w:pPr>
      <w:r>
        <w:rPr>
          <w:rFonts w:hint="eastAsia" w:ascii="仿宋" w:hAnsi="仿宋" w:eastAsia="仿宋" w:cs="仿宋"/>
          <w:b w:val="0"/>
          <w:bCs/>
          <w:kern w:val="2"/>
          <w:sz w:val="24"/>
          <w:szCs w:val="24"/>
          <w:highlight w:val="none"/>
          <w:lang w:val="en-US" w:eastAsia="zh-CN" w:bidi="ar-SA"/>
        </w:rPr>
        <w:t>信函地址：泉州分行附属楼一楼纪委办公室信箱。</w:t>
      </w:r>
    </w:p>
    <w:p w14:paraId="20C7FD3F">
      <w:pPr>
        <w:numPr>
          <w:ilvl w:val="0"/>
          <w:numId w:val="0"/>
        </w:numPr>
        <w:spacing w:line="360" w:lineRule="auto"/>
        <w:ind w:left="0" w:leftChars="0" w:firstLine="0" w:firstLineChars="0"/>
        <w:outlineLvl w:val="1"/>
        <w:rPr>
          <w:rFonts w:ascii="仿宋" w:hAnsi="仿宋" w:eastAsia="仿宋" w:cs="仿宋"/>
          <w:b/>
          <w:sz w:val="24"/>
          <w:szCs w:val="21"/>
          <w:highlight w:val="none"/>
        </w:rPr>
      </w:pPr>
      <w:bookmarkStart w:id="57" w:name="_Toc19715"/>
      <w:r>
        <w:rPr>
          <w:rFonts w:hint="eastAsia" w:ascii="仿宋" w:hAnsi="仿宋" w:eastAsia="仿宋" w:cs="仿宋"/>
          <w:b/>
          <w:kern w:val="2"/>
          <w:sz w:val="24"/>
          <w:szCs w:val="21"/>
          <w:highlight w:val="none"/>
          <w:lang w:val="en-US" w:eastAsia="zh-CN" w:bidi="ar-SA"/>
        </w:rPr>
        <w:t>十二、</w:t>
      </w:r>
      <w:r>
        <w:rPr>
          <w:rFonts w:hint="eastAsia" w:ascii="仿宋" w:hAnsi="仿宋" w:eastAsia="仿宋" w:cs="仿宋"/>
          <w:b/>
          <w:bCs/>
          <w:sz w:val="24"/>
          <w:szCs w:val="21"/>
          <w:highlight w:val="none"/>
        </w:rPr>
        <w:t>其他：</w:t>
      </w:r>
      <w:bookmarkEnd w:id="54"/>
      <w:bookmarkEnd w:id="55"/>
      <w:bookmarkEnd w:id="57"/>
    </w:p>
    <w:p w14:paraId="75DBDA2C">
      <w:pPr>
        <w:spacing w:line="360" w:lineRule="auto"/>
        <w:ind w:firstLine="480" w:firstLineChars="200"/>
        <w:rPr>
          <w:rFonts w:ascii="仿宋" w:hAnsi="仿宋" w:eastAsia="仿宋" w:cs="仿宋"/>
          <w:sz w:val="24"/>
          <w:szCs w:val="21"/>
          <w:highlight w:val="none"/>
        </w:rPr>
      </w:pPr>
      <w:r>
        <w:rPr>
          <w:rFonts w:hint="eastAsia" w:ascii="仿宋" w:hAnsi="仿宋" w:eastAsia="仿宋" w:cs="仿宋"/>
          <w:sz w:val="24"/>
          <w:szCs w:val="21"/>
          <w:highlight w:val="none"/>
        </w:rPr>
        <w:t xml:space="preserve">本项目不属于依法必须进行招标的项目，也不属于政府采购项目，为招标人自行采购的项目。 </w:t>
      </w:r>
    </w:p>
    <w:p w14:paraId="70ADA901">
      <w:pPr>
        <w:numPr>
          <w:ilvl w:val="0"/>
          <w:numId w:val="0"/>
        </w:numPr>
        <w:spacing w:line="360" w:lineRule="auto"/>
        <w:ind w:left="0" w:leftChars="0" w:firstLine="0" w:firstLineChars="0"/>
        <w:outlineLvl w:val="1"/>
        <w:rPr>
          <w:rFonts w:ascii="仿宋" w:hAnsi="仿宋" w:eastAsia="仿宋" w:cs="仿宋"/>
          <w:b/>
          <w:sz w:val="24"/>
          <w:szCs w:val="21"/>
          <w:highlight w:val="none"/>
        </w:rPr>
      </w:pPr>
      <w:bookmarkStart w:id="58" w:name="_Toc13347"/>
      <w:r>
        <w:rPr>
          <w:rFonts w:hint="eastAsia" w:ascii="仿宋" w:hAnsi="仿宋" w:eastAsia="仿宋" w:cs="仿宋"/>
          <w:b/>
          <w:kern w:val="2"/>
          <w:sz w:val="24"/>
          <w:szCs w:val="21"/>
          <w:highlight w:val="none"/>
          <w:lang w:val="en-US" w:eastAsia="zh-CN" w:bidi="ar-SA"/>
        </w:rPr>
        <w:t>十三、</w:t>
      </w:r>
      <w:r>
        <w:rPr>
          <w:rFonts w:ascii="仿宋" w:hAnsi="仿宋" w:eastAsia="仿宋" w:cs="Times New Roman"/>
          <w:b/>
          <w:sz w:val="24"/>
          <w:szCs w:val="21"/>
          <w:highlight w:val="none"/>
        </w:rPr>
        <w:t>联系方式</w:t>
      </w:r>
      <w:r>
        <w:rPr>
          <w:rFonts w:hint="eastAsia" w:ascii="仿宋" w:hAnsi="仿宋" w:eastAsia="仿宋" w:cs="Times New Roman"/>
          <w:b/>
          <w:sz w:val="24"/>
          <w:szCs w:val="21"/>
          <w:highlight w:val="none"/>
        </w:rPr>
        <w:t>：</w:t>
      </w:r>
      <w:bookmarkEnd w:id="58"/>
    </w:p>
    <w:p w14:paraId="66CDED27">
      <w:pPr>
        <w:spacing w:line="360" w:lineRule="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招 标 人：</w:t>
      </w:r>
      <w:r>
        <w:rPr>
          <w:rFonts w:hint="eastAsia" w:ascii="仿宋" w:hAnsi="仿宋" w:eastAsia="仿宋" w:cs="仿宋"/>
          <w:sz w:val="24"/>
          <w:szCs w:val="24"/>
          <w:highlight w:val="none"/>
          <w:lang w:val="en-US" w:eastAsia="zh-CN"/>
        </w:rPr>
        <w:t>中国银行股份有限公司泉州分行</w:t>
      </w:r>
    </w:p>
    <w:p w14:paraId="10966154">
      <w:pPr>
        <w:spacing w:line="360" w:lineRule="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 xml:space="preserve">地  </w:t>
      </w:r>
      <w:r>
        <w:rPr>
          <w:rFonts w:hint="eastAsia" w:ascii="仿宋" w:hAnsi="仿宋" w:eastAsia="仿宋" w:cs="仿宋"/>
          <w:sz w:val="24"/>
          <w:szCs w:val="24"/>
          <w:highlight w:val="none"/>
          <w:lang w:eastAsia="zh-CN"/>
        </w:rPr>
        <w:t xml:space="preserve">  址：</w:t>
      </w:r>
      <w:r>
        <w:rPr>
          <w:rFonts w:hint="eastAsia" w:ascii="仿宋" w:hAnsi="仿宋" w:eastAsia="仿宋" w:cs="仿宋"/>
          <w:sz w:val="24"/>
          <w:szCs w:val="24"/>
          <w:highlight w:val="none"/>
          <w:lang w:val="en-US" w:eastAsia="zh-CN"/>
        </w:rPr>
        <w:t>泉州市丰泽区丰泽街中段南侧中银大厦</w:t>
      </w:r>
    </w:p>
    <w:p w14:paraId="5B42BE28">
      <w:pPr>
        <w:spacing w:line="360" w:lineRule="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eastAsia="zh-CN"/>
        </w:rPr>
        <w:t>邮    编：</w:t>
      </w:r>
      <w:r>
        <w:rPr>
          <w:rFonts w:hint="eastAsia" w:ascii="仿宋" w:hAnsi="仿宋" w:eastAsia="仿宋" w:cs="仿宋"/>
          <w:sz w:val="24"/>
          <w:szCs w:val="24"/>
          <w:highlight w:val="none"/>
          <w:lang w:val="en-US" w:eastAsia="zh-CN"/>
        </w:rPr>
        <w:t>362000</w:t>
      </w:r>
    </w:p>
    <w:p w14:paraId="7E36E0CF">
      <w:pPr>
        <w:spacing w:line="360" w:lineRule="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联系人：【</w:t>
      </w:r>
      <w:r>
        <w:rPr>
          <w:rFonts w:hint="eastAsia" w:ascii="仿宋" w:hAnsi="仿宋" w:eastAsia="仿宋" w:cs="仿宋"/>
          <w:sz w:val="24"/>
          <w:szCs w:val="24"/>
          <w:highlight w:val="none"/>
          <w:lang w:val="en-US" w:eastAsia="zh-CN"/>
        </w:rPr>
        <w:t>李经理</w:t>
      </w:r>
      <w:r>
        <w:rPr>
          <w:rFonts w:hint="eastAsia" w:ascii="仿宋" w:hAnsi="仿宋" w:eastAsia="仿宋" w:cs="仿宋"/>
          <w:sz w:val="24"/>
          <w:szCs w:val="24"/>
          <w:highlight w:val="none"/>
          <w:lang w:eastAsia="zh-CN"/>
        </w:rPr>
        <w:t>】</w:t>
      </w:r>
    </w:p>
    <w:p w14:paraId="05D5AE15">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电</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lang w:eastAsia="zh-CN"/>
        </w:rPr>
        <w:t>话：【</w:t>
      </w:r>
      <w:r>
        <w:rPr>
          <w:rFonts w:hint="eastAsia" w:ascii="仿宋" w:hAnsi="仿宋" w:eastAsia="仿宋" w:cs="仿宋"/>
          <w:sz w:val="24"/>
          <w:szCs w:val="24"/>
          <w:highlight w:val="none"/>
          <w:lang w:val="en-US" w:eastAsia="zh-CN"/>
        </w:rPr>
        <w:t>0595 22152232</w:t>
      </w:r>
      <w:r>
        <w:rPr>
          <w:rFonts w:hint="eastAsia" w:ascii="仿宋" w:hAnsi="仿宋" w:eastAsia="仿宋" w:cs="仿宋"/>
          <w:sz w:val="24"/>
          <w:szCs w:val="24"/>
          <w:highlight w:val="none"/>
          <w:lang w:eastAsia="zh-CN"/>
        </w:rPr>
        <w:t>】</w:t>
      </w:r>
    </w:p>
    <w:p w14:paraId="251E1BF0">
      <w:pPr>
        <w:spacing w:line="360" w:lineRule="auto"/>
        <w:ind w:firstLine="720" w:firstLineChars="300"/>
        <w:rPr>
          <w:rFonts w:hint="eastAsia" w:ascii="仿宋" w:hAnsi="仿宋" w:eastAsia="仿宋" w:cs="仿宋"/>
          <w:sz w:val="24"/>
          <w:szCs w:val="24"/>
          <w:highlight w:val="none"/>
        </w:rPr>
      </w:pPr>
    </w:p>
    <w:p w14:paraId="0CC835C3">
      <w:pPr>
        <w:spacing w:line="360" w:lineRule="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招标代理机构名称：</w:t>
      </w:r>
      <w:r>
        <w:rPr>
          <w:rFonts w:hint="eastAsia" w:ascii="仿宋" w:hAnsi="仿宋" w:eastAsia="仿宋" w:cs="仿宋"/>
          <w:sz w:val="24"/>
          <w:szCs w:val="24"/>
          <w:highlight w:val="none"/>
          <w:lang w:eastAsia="zh-CN"/>
        </w:rPr>
        <w:t>福建省中通通信有限公司</w:t>
      </w:r>
    </w:p>
    <w:p w14:paraId="28B8EE68">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招标代理机构地址：福州市仓山区信平路10号</w:t>
      </w:r>
    </w:p>
    <w:p w14:paraId="24F7A798">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邮编：350007</w:t>
      </w:r>
    </w:p>
    <w:p w14:paraId="7AC98271">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投标文件或电子档（U盘）采取邮寄方式递交的，邮寄地址</w:t>
      </w:r>
      <w:r>
        <w:rPr>
          <w:rFonts w:hint="eastAsia" w:ascii="仿宋" w:hAnsi="仿宋" w:eastAsia="仿宋" w:cs="仿宋"/>
          <w:sz w:val="24"/>
          <w:szCs w:val="24"/>
          <w:highlight w:val="none"/>
          <w:lang w:val="en-US" w:eastAsia="zh-CN"/>
        </w:rPr>
        <w:t>为</w:t>
      </w:r>
      <w:r>
        <w:rPr>
          <w:rFonts w:hint="eastAsia" w:ascii="仿宋" w:hAnsi="仿宋" w:eastAsia="仿宋" w:cs="仿宋"/>
          <w:sz w:val="24"/>
          <w:szCs w:val="24"/>
          <w:highlight w:val="none"/>
        </w:rPr>
        <w:t>【见投标文件递交截止地点】</w:t>
      </w:r>
    </w:p>
    <w:p w14:paraId="0D659762">
      <w:pPr>
        <w:spacing w:line="360" w:lineRule="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样品接收联系人：</w:t>
      </w:r>
    </w:p>
    <w:p w14:paraId="0FE5DD32">
      <w:pPr>
        <w:spacing w:line="360" w:lineRule="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【杨希来】</w:t>
      </w:r>
      <w:r>
        <w:rPr>
          <w:rFonts w:hint="eastAsia" w:ascii="仿宋" w:hAnsi="仿宋" w:eastAsia="仿宋" w:cs="仿宋"/>
          <w:sz w:val="24"/>
          <w:szCs w:val="24"/>
          <w:highlight w:val="none"/>
        </w:rPr>
        <w:t>电话：【</w:t>
      </w:r>
      <w:r>
        <w:rPr>
          <w:rFonts w:hint="eastAsia" w:ascii="仿宋" w:hAnsi="仿宋" w:eastAsia="仿宋" w:cs="仿宋"/>
          <w:sz w:val="24"/>
          <w:szCs w:val="24"/>
          <w:highlight w:val="none"/>
          <w:lang w:val="en-US" w:eastAsia="zh-CN"/>
        </w:rPr>
        <w:t>18960830097</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 xml:space="preserve">    </w:t>
      </w:r>
    </w:p>
    <w:p w14:paraId="12D482A3">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蒋恭楷</w:t>
      </w:r>
      <w:r>
        <w:rPr>
          <w:rFonts w:hint="eastAsia" w:ascii="仿宋" w:hAnsi="仿宋" w:eastAsia="仿宋" w:cs="仿宋"/>
          <w:sz w:val="24"/>
          <w:szCs w:val="24"/>
          <w:highlight w:val="none"/>
        </w:rPr>
        <w:t>】电话：【</w:t>
      </w:r>
      <w:r>
        <w:rPr>
          <w:rFonts w:hint="eastAsia" w:ascii="仿宋" w:hAnsi="仿宋" w:eastAsia="仿宋" w:cs="仿宋"/>
          <w:sz w:val="24"/>
          <w:szCs w:val="24"/>
          <w:highlight w:val="none"/>
          <w:lang w:val="en-US" w:eastAsia="zh-CN"/>
        </w:rPr>
        <w:t>19905958001</w:t>
      </w:r>
      <w:r>
        <w:rPr>
          <w:rFonts w:hint="eastAsia" w:ascii="仿宋" w:hAnsi="仿宋" w:eastAsia="仿宋" w:cs="仿宋"/>
          <w:sz w:val="24"/>
          <w:szCs w:val="24"/>
          <w:highlight w:val="none"/>
        </w:rPr>
        <w:t>】</w:t>
      </w:r>
    </w:p>
    <w:p w14:paraId="423F22AD">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项目</w:t>
      </w:r>
      <w:r>
        <w:rPr>
          <w:rFonts w:hint="eastAsia" w:ascii="仿宋" w:hAnsi="仿宋" w:eastAsia="仿宋" w:cs="仿宋"/>
          <w:sz w:val="24"/>
          <w:szCs w:val="24"/>
          <w:highlight w:val="none"/>
        </w:rPr>
        <w:t>负责人：【</w:t>
      </w:r>
      <w:r>
        <w:rPr>
          <w:rFonts w:hint="eastAsia" w:ascii="仿宋" w:hAnsi="仿宋" w:eastAsia="仿宋" w:cs="仿宋"/>
          <w:sz w:val="24"/>
          <w:szCs w:val="24"/>
          <w:highlight w:val="none"/>
          <w:lang w:val="en-US" w:eastAsia="zh-CN"/>
        </w:rPr>
        <w:t>蒋恭楷</w:t>
      </w:r>
      <w:r>
        <w:rPr>
          <w:rFonts w:hint="eastAsia" w:ascii="仿宋" w:hAnsi="仿宋" w:eastAsia="仿宋" w:cs="仿宋"/>
          <w:sz w:val="24"/>
          <w:szCs w:val="24"/>
          <w:highlight w:val="none"/>
        </w:rPr>
        <w:t>】       电话：【</w:t>
      </w:r>
      <w:r>
        <w:rPr>
          <w:rFonts w:hint="eastAsia" w:ascii="仿宋" w:hAnsi="仿宋" w:eastAsia="仿宋" w:cs="仿宋"/>
          <w:sz w:val="24"/>
          <w:szCs w:val="24"/>
          <w:highlight w:val="none"/>
          <w:lang w:val="en-US" w:eastAsia="zh-CN"/>
        </w:rPr>
        <w:t>19905958001</w:t>
      </w:r>
      <w:r>
        <w:rPr>
          <w:rFonts w:hint="eastAsia" w:ascii="仿宋" w:hAnsi="仿宋" w:eastAsia="仿宋" w:cs="仿宋"/>
          <w:sz w:val="24"/>
          <w:szCs w:val="24"/>
          <w:highlight w:val="none"/>
        </w:rPr>
        <w:t>】</w:t>
      </w:r>
    </w:p>
    <w:p w14:paraId="374966AE">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电子邮箱（异议接收邮箱）：【jianggongkai@chinaccs.cn】</w:t>
      </w:r>
    </w:p>
    <w:p w14:paraId="3A30F92D">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招标代理机构：【</w:t>
      </w:r>
      <w:r>
        <w:rPr>
          <w:rFonts w:hint="eastAsia" w:ascii="仿宋" w:hAnsi="仿宋" w:eastAsia="仿宋" w:cs="仿宋"/>
          <w:sz w:val="24"/>
          <w:szCs w:val="24"/>
          <w:highlight w:val="none"/>
          <w:lang w:eastAsia="zh-CN"/>
        </w:rPr>
        <w:t>福建省中通通信有限公司</w:t>
      </w:r>
      <w:r>
        <w:rPr>
          <w:rFonts w:hint="eastAsia" w:ascii="仿宋" w:hAnsi="仿宋" w:eastAsia="仿宋" w:cs="仿宋"/>
          <w:sz w:val="24"/>
          <w:szCs w:val="24"/>
          <w:highlight w:val="none"/>
        </w:rPr>
        <w:t>】</w:t>
      </w:r>
    </w:p>
    <w:p w14:paraId="649916DA">
      <w:pPr>
        <w:spacing w:line="360" w:lineRule="auto"/>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 xml:space="preserve"> 【</w:t>
      </w:r>
      <w:r>
        <w:rPr>
          <w:rFonts w:hint="eastAsia" w:ascii="仿宋" w:hAnsi="仿宋" w:eastAsia="仿宋" w:cs="仿宋"/>
          <w:sz w:val="24"/>
          <w:szCs w:val="24"/>
          <w:highlight w:val="none"/>
          <w:lang w:val="en-US" w:eastAsia="zh-CN"/>
        </w:rPr>
        <w:t>2025</w:t>
      </w:r>
      <w:r>
        <w:rPr>
          <w:rFonts w:hint="eastAsia" w:ascii="仿宋" w:hAnsi="仿宋" w:eastAsia="仿宋" w:cs="仿宋"/>
          <w:sz w:val="24"/>
          <w:szCs w:val="24"/>
          <w:highlight w:val="none"/>
        </w:rPr>
        <w:t>年</w:t>
      </w:r>
      <w:r>
        <w:rPr>
          <w:rFonts w:hint="eastAsia" w:ascii="仿宋" w:hAnsi="仿宋" w:eastAsia="仿宋" w:cs="仿宋"/>
          <w:sz w:val="24"/>
          <w:szCs w:val="24"/>
          <w:highlight w:val="none"/>
          <w:lang w:val="en-US" w:eastAsia="zh-CN"/>
        </w:rPr>
        <w:t>12</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12</w:t>
      </w:r>
      <w:r>
        <w:rPr>
          <w:rFonts w:hint="eastAsia" w:ascii="仿宋" w:hAnsi="仿宋" w:eastAsia="仿宋" w:cs="仿宋"/>
          <w:sz w:val="24"/>
          <w:szCs w:val="24"/>
          <w:highlight w:val="none"/>
        </w:rPr>
        <w:t>日】</w:t>
      </w:r>
    </w:p>
    <w:p w14:paraId="0411387E">
      <w:pPr>
        <w:keepNext w:val="0"/>
        <w:keepLines w:val="0"/>
        <w:widowControl/>
        <w:suppressLineNumbers w:val="0"/>
        <w:spacing w:before="75" w:beforeAutospacing="0" w:after="75" w:afterAutospacing="0"/>
        <w:ind w:left="0" w:right="0" w:firstLine="0"/>
        <w:jc w:val="left"/>
        <w:rPr>
          <w:rFonts w:ascii="宋体" w:hAnsi="宋体" w:eastAsia="宋体" w:cs="宋体"/>
          <w:i w:val="0"/>
          <w:iCs w:val="0"/>
          <w:caps w:val="0"/>
          <w:color w:val="000000"/>
          <w:spacing w:val="0"/>
          <w:kern w:val="0"/>
          <w:sz w:val="24"/>
          <w:szCs w:val="24"/>
          <w:highlight w:val="none"/>
          <w:lang w:val="en-US" w:eastAsia="zh-CN" w:bidi="ar-SA"/>
        </w:rPr>
      </w:pPr>
    </w:p>
    <w:p w14:paraId="2DD7E5A3">
      <w:pPr>
        <w:keepNext w:val="0"/>
        <w:keepLines w:val="0"/>
        <w:widowControl/>
        <w:suppressLineNumbers w:val="0"/>
        <w:spacing w:before="75" w:beforeAutospacing="0" w:after="75" w:afterAutospacing="0"/>
        <w:ind w:left="0" w:right="0" w:firstLine="0"/>
        <w:jc w:val="left"/>
        <w:rPr>
          <w:rFonts w:ascii="微软雅黑" w:hAnsi="微软雅黑" w:eastAsia="微软雅黑" w:cs="微软雅黑"/>
          <w:i w:val="0"/>
          <w:iCs w:val="0"/>
          <w:caps w:val="0"/>
          <w:color w:val="000000"/>
          <w:spacing w:val="0"/>
          <w:kern w:val="0"/>
          <w:sz w:val="27"/>
          <w:szCs w:val="27"/>
          <w:highlight w:val="none"/>
          <w:lang w:val="en-US" w:eastAsia="zh-CN" w:bidi="ar-SA"/>
        </w:rPr>
      </w:pPr>
      <w:r>
        <w:rPr>
          <w:rFonts w:ascii="宋体" w:hAnsi="宋体" w:eastAsia="宋体" w:cs="宋体"/>
          <w:i w:val="0"/>
          <w:iCs w:val="0"/>
          <w:caps w:val="0"/>
          <w:color w:val="000000"/>
          <w:spacing w:val="0"/>
          <w:kern w:val="0"/>
          <w:sz w:val="24"/>
          <w:szCs w:val="24"/>
          <w:highlight w:val="none"/>
          <w:lang w:val="en-US" w:eastAsia="zh-CN" w:bidi="ar-SA"/>
        </w:rPr>
        <w:t>附</w:t>
      </w:r>
      <w:r>
        <w:rPr>
          <w:rFonts w:hint="eastAsia" w:ascii="宋体" w:hAnsi="宋体" w:eastAsia="宋体" w:cs="宋体"/>
          <w:i w:val="0"/>
          <w:iCs w:val="0"/>
          <w:caps w:val="0"/>
          <w:color w:val="000000"/>
          <w:spacing w:val="0"/>
          <w:kern w:val="0"/>
          <w:sz w:val="24"/>
          <w:szCs w:val="24"/>
          <w:highlight w:val="none"/>
          <w:lang w:val="en-US" w:eastAsia="zh-CN" w:bidi="ar-SA"/>
        </w:rPr>
        <w:t>1：账户信息</w:t>
      </w:r>
    </w:p>
    <w:tbl>
      <w:tblPr>
        <w:tblStyle w:val="12"/>
        <w:tblW w:w="0" w:type="auto"/>
        <w:tblCellSpacing w:w="15"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8591"/>
      </w:tblGrid>
      <w:tr w14:paraId="52D358A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64" w:hRule="atLeast"/>
          <w:tblCellSpacing w:w="15" w:type="dxa"/>
        </w:trPr>
        <w:tc>
          <w:tcPr>
            <w:tcW w:w="0" w:type="auto"/>
            <w:tcBorders>
              <w:top w:val="nil"/>
              <w:left w:val="nil"/>
              <w:bottom w:val="nil"/>
              <w:right w:val="nil"/>
            </w:tcBorders>
            <w:shd w:val="clear" w:color="auto" w:fill="auto"/>
            <w:tcMar>
              <w:top w:w="0" w:type="dxa"/>
              <w:left w:w="105" w:type="dxa"/>
              <w:bottom w:w="0" w:type="dxa"/>
              <w:right w:w="105" w:type="dxa"/>
            </w:tcMar>
            <w:vAlign w:val="center"/>
          </w:tcPr>
          <w:p w14:paraId="36E3EA87">
            <w:pPr>
              <w:keepNext w:val="0"/>
              <w:keepLines w:val="0"/>
              <w:widowControl/>
              <w:suppressLineNumbers w:val="0"/>
              <w:spacing w:before="0" w:beforeAutospacing="0" w:after="0" w:afterAutospacing="0"/>
              <w:ind w:left="0" w:right="0"/>
              <w:jc w:val="center"/>
              <w:rPr>
                <w:rFonts w:ascii="Times New Roman" w:hAnsi="Times New Roman" w:eastAsia="仿宋" w:cs="Times New Roman"/>
                <w:kern w:val="0"/>
                <w:sz w:val="24"/>
                <w:szCs w:val="21"/>
                <w:highlight w:val="none"/>
                <w:lang w:val="en-US" w:eastAsia="zh-CN" w:bidi="ar-SA"/>
              </w:rPr>
            </w:pPr>
            <w:r>
              <w:rPr>
                <w:rFonts w:hint="eastAsia" w:ascii="宋体" w:hAnsi="宋体" w:eastAsia="宋体" w:cs="宋体"/>
                <w:i w:val="0"/>
                <w:iCs w:val="0"/>
                <w:caps w:val="0"/>
                <w:color w:val="000000"/>
                <w:spacing w:val="0"/>
                <w:kern w:val="2"/>
                <w:sz w:val="24"/>
                <w:szCs w:val="24"/>
                <w:highlight w:val="none"/>
                <w:lang w:val="en-US" w:eastAsia="zh-CN" w:bidi="ar-SA"/>
              </w:rPr>
              <w:t>投标保证金账户</w:t>
            </w:r>
          </w:p>
        </w:tc>
      </w:tr>
      <w:tr w14:paraId="4DF8432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0" w:hRule="atLeast"/>
          <w:tblCellSpacing w:w="15" w:type="dxa"/>
        </w:trPr>
        <w:tc>
          <w:tcPr>
            <w:tcW w:w="0" w:type="auto"/>
            <w:tcBorders>
              <w:top w:val="nil"/>
              <w:left w:val="nil"/>
              <w:bottom w:val="nil"/>
              <w:right w:val="nil"/>
            </w:tcBorders>
            <w:shd w:val="clear" w:color="auto" w:fill="auto"/>
            <w:tcMar>
              <w:top w:w="0" w:type="dxa"/>
              <w:left w:w="105" w:type="dxa"/>
              <w:bottom w:w="0" w:type="dxa"/>
              <w:right w:w="105" w:type="dxa"/>
            </w:tcMar>
            <w:vAlign w:val="top"/>
          </w:tcPr>
          <w:p w14:paraId="717A5CF6">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kern w:val="0"/>
                <w:sz w:val="24"/>
                <w:szCs w:val="21"/>
                <w:highlight w:val="none"/>
                <w:lang w:val="en-US" w:eastAsia="zh-CN" w:bidi="ar-SA"/>
              </w:rPr>
            </w:pPr>
            <w:r>
              <w:rPr>
                <w:rFonts w:hint="eastAsia" w:ascii="宋体" w:hAnsi="宋体" w:eastAsia="宋体" w:cs="宋体"/>
                <w:i w:val="0"/>
                <w:iCs w:val="0"/>
                <w:caps w:val="0"/>
                <w:color w:val="000000"/>
                <w:spacing w:val="0"/>
                <w:kern w:val="0"/>
                <w:sz w:val="24"/>
                <w:szCs w:val="24"/>
                <w:highlight w:val="none"/>
                <w:lang w:val="en-US" w:eastAsia="zh-CN" w:bidi="ar-SA"/>
              </w:rPr>
              <w:t>开户名称：</w:t>
            </w:r>
            <w:r>
              <w:rPr>
                <w:rFonts w:hint="eastAsia" w:ascii="宋体" w:hAnsi="宋体" w:eastAsia="宋体" w:cs="宋体"/>
                <w:b w:val="0"/>
                <w:bCs w:val="0"/>
                <w:color w:val="000000"/>
                <w:kern w:val="0"/>
                <w:sz w:val="24"/>
                <w:szCs w:val="21"/>
                <w:highlight w:val="none"/>
                <w:lang w:val="en-US" w:eastAsia="zh-CN" w:bidi="ar-SA"/>
              </w:rPr>
              <w:t>福建省中通通信有限公司</w:t>
            </w:r>
          </w:p>
        </w:tc>
      </w:tr>
      <w:tr w14:paraId="5BEA795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0" w:type="auto"/>
            <w:tcBorders>
              <w:top w:val="nil"/>
              <w:left w:val="nil"/>
              <w:bottom w:val="nil"/>
              <w:right w:val="nil"/>
            </w:tcBorders>
            <w:shd w:val="clear" w:color="auto" w:fill="auto"/>
            <w:tcMar>
              <w:top w:w="0" w:type="dxa"/>
              <w:left w:w="105" w:type="dxa"/>
              <w:bottom w:w="0" w:type="dxa"/>
              <w:right w:w="105" w:type="dxa"/>
            </w:tcMar>
            <w:vAlign w:val="top"/>
          </w:tcPr>
          <w:p w14:paraId="5CC9D3E7">
            <w:pPr>
              <w:keepNext w:val="0"/>
              <w:keepLines w:val="0"/>
              <w:widowControl/>
              <w:suppressLineNumbers w:val="0"/>
              <w:spacing w:before="0" w:beforeAutospacing="0" w:after="0" w:afterAutospacing="0"/>
              <w:ind w:left="0" w:right="0"/>
              <w:jc w:val="left"/>
              <w:rPr>
                <w:rFonts w:hint="default" w:ascii="宋体" w:hAnsi="宋体" w:eastAsia="宋体" w:cs="宋体"/>
                <w:i w:val="0"/>
                <w:iCs w:val="0"/>
                <w:caps w:val="0"/>
                <w:color w:val="000000"/>
                <w:spacing w:val="0"/>
                <w:kern w:val="0"/>
                <w:sz w:val="24"/>
                <w:szCs w:val="24"/>
                <w:highlight w:val="none"/>
                <w:lang w:val="en-US" w:eastAsia="zh-CN" w:bidi="ar-SA"/>
              </w:rPr>
            </w:pPr>
            <w:r>
              <w:rPr>
                <w:rFonts w:hint="eastAsia" w:ascii="宋体" w:hAnsi="宋体" w:eastAsia="仿宋" w:cs="宋体"/>
                <w:i w:val="0"/>
                <w:iCs w:val="0"/>
                <w:caps w:val="0"/>
                <w:color w:val="000000"/>
                <w:spacing w:val="0"/>
                <w:kern w:val="0"/>
                <w:sz w:val="24"/>
                <w:szCs w:val="24"/>
                <w:highlight w:val="none"/>
                <w:lang w:val="en-US" w:eastAsia="zh-CN" w:bidi="ar-SA"/>
              </w:rPr>
              <w:t>账号：413085084436</w:t>
            </w:r>
          </w:p>
        </w:tc>
      </w:tr>
      <w:tr w14:paraId="4B7C9EB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0" w:type="auto"/>
            <w:tcBorders>
              <w:top w:val="nil"/>
              <w:left w:val="nil"/>
              <w:bottom w:val="nil"/>
              <w:right w:val="nil"/>
            </w:tcBorders>
            <w:shd w:val="clear" w:color="auto" w:fill="auto"/>
            <w:tcMar>
              <w:top w:w="0" w:type="dxa"/>
              <w:left w:w="105" w:type="dxa"/>
              <w:bottom w:w="0" w:type="dxa"/>
              <w:right w:w="105" w:type="dxa"/>
            </w:tcMar>
            <w:vAlign w:val="top"/>
          </w:tcPr>
          <w:p w14:paraId="78B3FE39">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0"/>
                <w:sz w:val="24"/>
                <w:szCs w:val="21"/>
                <w:highlight w:val="none"/>
                <w:lang w:val="en-US" w:eastAsia="zh-CN" w:bidi="ar-SA"/>
              </w:rPr>
            </w:pPr>
            <w:r>
              <w:rPr>
                <w:rFonts w:hint="eastAsia" w:ascii="宋体" w:hAnsi="宋体" w:eastAsia="宋体" w:cs="宋体"/>
                <w:i w:val="0"/>
                <w:iCs w:val="0"/>
                <w:caps w:val="0"/>
                <w:color w:val="000000"/>
                <w:spacing w:val="0"/>
                <w:kern w:val="0"/>
                <w:sz w:val="24"/>
                <w:szCs w:val="24"/>
                <w:highlight w:val="none"/>
                <w:lang w:val="en-US" w:eastAsia="zh-CN" w:bidi="ar-SA"/>
              </w:rPr>
              <w:t>开户银行：</w:t>
            </w:r>
            <w:r>
              <w:rPr>
                <w:rFonts w:hint="eastAsia" w:ascii="宋体" w:hAnsi="宋体" w:eastAsia="宋体" w:cs="宋体"/>
                <w:b w:val="0"/>
                <w:bCs w:val="0"/>
                <w:color w:val="000000"/>
                <w:kern w:val="0"/>
                <w:sz w:val="24"/>
                <w:szCs w:val="21"/>
                <w:highlight w:val="none"/>
                <w:lang w:val="en-US" w:eastAsia="zh-CN" w:bidi="ar-SA"/>
              </w:rPr>
              <w:t>中国银行福州金融街支行</w:t>
            </w:r>
          </w:p>
        </w:tc>
      </w:tr>
      <w:tr w14:paraId="75854C1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0" w:type="auto"/>
            <w:tcBorders>
              <w:top w:val="nil"/>
              <w:left w:val="nil"/>
              <w:bottom w:val="nil"/>
              <w:right w:val="nil"/>
            </w:tcBorders>
            <w:shd w:val="clear" w:color="auto" w:fill="auto"/>
            <w:tcMar>
              <w:top w:w="0" w:type="dxa"/>
              <w:left w:w="105" w:type="dxa"/>
              <w:bottom w:w="0" w:type="dxa"/>
              <w:right w:w="105" w:type="dxa"/>
            </w:tcMar>
            <w:vAlign w:val="center"/>
          </w:tcPr>
          <w:p w14:paraId="14281177">
            <w:pPr>
              <w:keepNext w:val="0"/>
              <w:keepLines w:val="0"/>
              <w:widowControl/>
              <w:suppressLineNumbers w:val="0"/>
              <w:spacing w:before="0" w:beforeAutospacing="0" w:after="0" w:afterAutospacing="0"/>
              <w:ind w:left="0" w:right="0"/>
              <w:jc w:val="center"/>
              <w:rPr>
                <w:rFonts w:ascii="Times New Roman" w:hAnsi="Times New Roman" w:eastAsia="仿宋" w:cs="Times New Roman"/>
                <w:kern w:val="0"/>
                <w:sz w:val="24"/>
                <w:szCs w:val="21"/>
                <w:highlight w:val="none"/>
                <w:lang w:val="en-US" w:eastAsia="zh-CN" w:bidi="ar-SA"/>
              </w:rPr>
            </w:pPr>
            <w:r>
              <w:rPr>
                <w:rFonts w:hint="eastAsia" w:ascii="宋体" w:hAnsi="宋体" w:eastAsia="宋体" w:cs="宋体"/>
                <w:i w:val="0"/>
                <w:iCs w:val="0"/>
                <w:caps w:val="0"/>
                <w:color w:val="000000"/>
                <w:spacing w:val="0"/>
                <w:kern w:val="2"/>
                <w:sz w:val="24"/>
                <w:szCs w:val="24"/>
                <w:highlight w:val="none"/>
                <w:lang w:val="en-US" w:eastAsia="zh-CN" w:bidi="ar-SA"/>
              </w:rPr>
              <w:t>特别提示</w:t>
            </w:r>
          </w:p>
        </w:tc>
      </w:tr>
      <w:tr w14:paraId="46CB7B0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0" w:type="auto"/>
            <w:tcBorders>
              <w:top w:val="nil"/>
              <w:left w:val="nil"/>
              <w:bottom w:val="nil"/>
              <w:right w:val="nil"/>
            </w:tcBorders>
            <w:shd w:val="clear" w:color="auto" w:fill="auto"/>
            <w:tcMar>
              <w:top w:w="0" w:type="dxa"/>
              <w:left w:w="105" w:type="dxa"/>
              <w:bottom w:w="0" w:type="dxa"/>
              <w:right w:w="105" w:type="dxa"/>
            </w:tcMar>
            <w:vAlign w:val="top"/>
          </w:tcPr>
          <w:p w14:paraId="15BC8125">
            <w:pPr>
              <w:keepNext w:val="0"/>
              <w:keepLines w:val="0"/>
              <w:widowControl/>
              <w:suppressLineNumbers w:val="0"/>
              <w:spacing w:before="0" w:beforeAutospacing="0" w:after="0" w:afterAutospacing="0"/>
              <w:ind w:left="0" w:right="0"/>
              <w:jc w:val="left"/>
              <w:rPr>
                <w:rFonts w:ascii="Times New Roman" w:hAnsi="Times New Roman" w:eastAsia="仿宋" w:cs="Times New Roman"/>
                <w:kern w:val="0"/>
                <w:sz w:val="24"/>
                <w:szCs w:val="21"/>
                <w:highlight w:val="none"/>
                <w:lang w:val="en-US" w:eastAsia="zh-CN" w:bidi="ar-SA"/>
              </w:rPr>
            </w:pPr>
            <w:r>
              <w:rPr>
                <w:rFonts w:hint="eastAsia" w:ascii="宋体" w:hAnsi="宋体" w:eastAsia="宋体" w:cs="宋体"/>
                <w:i w:val="0"/>
                <w:iCs w:val="0"/>
                <w:caps w:val="0"/>
                <w:color w:val="000000"/>
                <w:spacing w:val="0"/>
                <w:kern w:val="0"/>
                <w:sz w:val="24"/>
                <w:szCs w:val="24"/>
                <w:highlight w:val="none"/>
                <w:lang w:val="en-US" w:eastAsia="zh-CN" w:bidi="ar-SA"/>
              </w:rPr>
              <w:t>1、投标人应认真核对账户信息，将投标保证金汇入以上账户，并自行承担因汇错投标保证金而产生的一切后果。</w:t>
            </w:r>
          </w:p>
          <w:p w14:paraId="1D829592">
            <w:pPr>
              <w:keepNext w:val="0"/>
              <w:keepLines w:val="0"/>
              <w:widowControl/>
              <w:suppressLineNumbers w:val="0"/>
              <w:spacing w:before="0" w:beforeAutospacing="0" w:after="0" w:afterAutospacing="0"/>
              <w:ind w:left="0" w:right="0"/>
              <w:jc w:val="left"/>
              <w:rPr>
                <w:rFonts w:ascii="Times New Roman" w:hAnsi="Times New Roman" w:eastAsia="仿宋" w:cs="Times New Roman"/>
                <w:kern w:val="0"/>
                <w:sz w:val="24"/>
                <w:szCs w:val="21"/>
                <w:highlight w:val="none"/>
                <w:lang w:val="en-US" w:eastAsia="zh-CN" w:bidi="ar-SA"/>
              </w:rPr>
            </w:pPr>
            <w:r>
              <w:rPr>
                <w:rFonts w:hint="eastAsia" w:ascii="宋体" w:hAnsi="宋体" w:eastAsia="宋体" w:cs="宋体"/>
                <w:i w:val="0"/>
                <w:iCs w:val="0"/>
                <w:caps w:val="0"/>
                <w:color w:val="000000"/>
                <w:spacing w:val="0"/>
                <w:kern w:val="0"/>
                <w:sz w:val="24"/>
                <w:szCs w:val="24"/>
                <w:highlight w:val="none"/>
                <w:lang w:val="en-US" w:eastAsia="zh-CN" w:bidi="ar-SA"/>
              </w:rPr>
              <w:t>2、投标人在转账或电汇的凭证上应按照以下格式注明，以便核对：“（</w:t>
            </w:r>
            <w:r>
              <w:rPr>
                <w:rFonts w:hint="eastAsia" w:ascii="宋体" w:hAnsi="宋体" w:eastAsia="仿宋" w:cs="宋体"/>
                <w:i w:val="0"/>
                <w:iCs w:val="0"/>
                <w:caps w:val="0"/>
                <w:color w:val="000000"/>
                <w:spacing w:val="0"/>
                <w:kern w:val="0"/>
                <w:sz w:val="24"/>
                <w:szCs w:val="24"/>
                <w:highlight w:val="none"/>
                <w:lang w:val="en-US" w:eastAsia="zh-CN" w:bidi="ar-SA"/>
              </w:rPr>
              <w:t>招标</w:t>
            </w:r>
            <w:r>
              <w:rPr>
                <w:rFonts w:hint="eastAsia" w:ascii="宋体" w:hAnsi="宋体" w:eastAsia="宋体" w:cs="宋体"/>
                <w:i w:val="0"/>
                <w:iCs w:val="0"/>
                <w:caps w:val="0"/>
                <w:color w:val="000000"/>
                <w:spacing w:val="0"/>
                <w:kern w:val="0"/>
                <w:sz w:val="24"/>
                <w:szCs w:val="24"/>
                <w:highlight w:val="none"/>
                <w:lang w:val="en-US" w:eastAsia="zh-CN" w:bidi="ar-SA"/>
              </w:rPr>
              <w:t>编号：</w:t>
            </w:r>
            <w:r>
              <w:rPr>
                <w:rFonts w:hint="default" w:ascii="Times New Roman" w:hAnsi="Times New Roman" w:eastAsia="微软雅黑" w:cs="Times New Roman"/>
                <w:i w:val="0"/>
                <w:iCs w:val="0"/>
                <w:caps w:val="0"/>
                <w:color w:val="000000"/>
                <w:spacing w:val="0"/>
                <w:kern w:val="0"/>
                <w:sz w:val="24"/>
                <w:szCs w:val="24"/>
                <w:highlight w:val="none"/>
                <w:lang w:val="en-US" w:eastAsia="zh-CN" w:bidi="ar-SA"/>
              </w:rPr>
              <w:t>***</w:t>
            </w:r>
            <w:r>
              <w:rPr>
                <w:rFonts w:hint="eastAsia" w:ascii="宋体" w:hAnsi="宋体" w:eastAsia="宋体" w:cs="宋体"/>
                <w:i w:val="0"/>
                <w:iCs w:val="0"/>
                <w:caps w:val="0"/>
                <w:color w:val="000000"/>
                <w:spacing w:val="0"/>
                <w:kern w:val="0"/>
                <w:sz w:val="24"/>
                <w:szCs w:val="24"/>
                <w:highlight w:val="none"/>
                <w:lang w:val="en-US" w:eastAsia="zh-CN" w:bidi="ar-SA"/>
              </w:rPr>
              <w:t>）的投标保证金”。</w:t>
            </w:r>
          </w:p>
        </w:tc>
      </w:tr>
    </w:tbl>
    <w:p w14:paraId="62297789">
      <w:pPr>
        <w:spacing w:line="360" w:lineRule="auto"/>
        <w:ind w:firstLine="480" w:firstLineChars="200"/>
        <w:rPr>
          <w:rFonts w:ascii="仿宋" w:hAnsi="仿宋" w:eastAsia="仿宋" w:cs="仿宋"/>
          <w:sz w:val="24"/>
          <w:szCs w:val="21"/>
          <w:highlight w:val="none"/>
        </w:rPr>
      </w:pPr>
      <w:r>
        <w:rPr>
          <w:rFonts w:hint="eastAsia" w:ascii="仿宋" w:hAnsi="仿宋" w:eastAsia="仿宋" w:cs="仿宋"/>
          <w:sz w:val="24"/>
          <w:szCs w:val="21"/>
          <w:highlight w:val="none"/>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11A581"/>
    <w:multiLevelType w:val="singleLevel"/>
    <w:tmpl w:val="9A11A581"/>
    <w:lvl w:ilvl="0" w:tentative="0">
      <w:start w:val="1"/>
      <w:numFmt w:val="decimal"/>
      <w:lvlText w:val="%1."/>
      <w:lvlJc w:val="left"/>
      <w:pPr>
        <w:tabs>
          <w:tab w:val="left" w:pos="312"/>
        </w:tabs>
      </w:pPr>
    </w:lvl>
  </w:abstractNum>
  <w:abstractNum w:abstractNumId="1">
    <w:nsid w:val="DBBD0F88"/>
    <w:multiLevelType w:val="singleLevel"/>
    <w:tmpl w:val="DBBD0F88"/>
    <w:lvl w:ilvl="0" w:tentative="0">
      <w:start w:val="1"/>
      <w:numFmt w:val="chineseCounting"/>
      <w:suff w:val="nothing"/>
      <w:lvlText w:val="（%1）"/>
      <w:lvlJc w:val="left"/>
      <w:pPr>
        <w:ind w:left="0" w:firstLine="420"/>
      </w:pPr>
      <w:rPr>
        <w:rFonts w:hint="eastAsia"/>
        <w:b/>
        <w:bCs/>
      </w:rPr>
    </w:lvl>
  </w:abstractNum>
  <w:abstractNum w:abstractNumId="2">
    <w:nsid w:val="F77F7FCD"/>
    <w:multiLevelType w:val="singleLevel"/>
    <w:tmpl w:val="F77F7FCD"/>
    <w:lvl w:ilvl="0" w:tentative="0">
      <w:start w:val="1"/>
      <w:numFmt w:val="chineseCounting"/>
      <w:suff w:val="nothing"/>
      <w:lvlText w:val="（%1）"/>
      <w:lvlJc w:val="left"/>
      <w:pPr>
        <w:ind w:left="0" w:firstLine="420"/>
      </w:pPr>
      <w:rPr>
        <w:rFonts w:hint="eastAsia"/>
        <w:b/>
        <w:bCs/>
      </w:rPr>
    </w:lvl>
  </w:abstractNum>
  <w:abstractNum w:abstractNumId="3">
    <w:nsid w:val="35C200DD"/>
    <w:multiLevelType w:val="multilevel"/>
    <w:tmpl w:val="35C200DD"/>
    <w:lvl w:ilvl="0" w:tentative="0">
      <w:start w:val="1"/>
      <w:numFmt w:val="decimal"/>
      <w:pStyle w:val="23"/>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RmMDZhODc1ODMyYTAwNTE1Yzk0Njg4OTYzZWI5NWQifQ=="/>
  </w:docVars>
  <w:rsids>
    <w:rsidRoot w:val="00897A9B"/>
    <w:rsid w:val="00301611"/>
    <w:rsid w:val="00897A9B"/>
    <w:rsid w:val="008E2A18"/>
    <w:rsid w:val="00B51ADF"/>
    <w:rsid w:val="01FC65B5"/>
    <w:rsid w:val="03914CEF"/>
    <w:rsid w:val="07AB0349"/>
    <w:rsid w:val="0B5A2172"/>
    <w:rsid w:val="0B6701E5"/>
    <w:rsid w:val="0C8278CB"/>
    <w:rsid w:val="0ED62EEB"/>
    <w:rsid w:val="13F27F59"/>
    <w:rsid w:val="16394D7C"/>
    <w:rsid w:val="1685472A"/>
    <w:rsid w:val="1A766291"/>
    <w:rsid w:val="1E32315F"/>
    <w:rsid w:val="26E95F63"/>
    <w:rsid w:val="2AC31382"/>
    <w:rsid w:val="3045283A"/>
    <w:rsid w:val="32222E32"/>
    <w:rsid w:val="3DF15DAF"/>
    <w:rsid w:val="3EB968CD"/>
    <w:rsid w:val="406E1939"/>
    <w:rsid w:val="42E24862"/>
    <w:rsid w:val="4416031D"/>
    <w:rsid w:val="45631853"/>
    <w:rsid w:val="488C6E00"/>
    <w:rsid w:val="496833C9"/>
    <w:rsid w:val="4B3C4CB1"/>
    <w:rsid w:val="4B5A0CAD"/>
    <w:rsid w:val="5221680B"/>
    <w:rsid w:val="526606C2"/>
    <w:rsid w:val="53283BC9"/>
    <w:rsid w:val="55DA73FC"/>
    <w:rsid w:val="562E13A7"/>
    <w:rsid w:val="58F20F01"/>
    <w:rsid w:val="5B1909C7"/>
    <w:rsid w:val="5EF62DCD"/>
    <w:rsid w:val="63F57EA7"/>
    <w:rsid w:val="649966D5"/>
    <w:rsid w:val="6DB85E1E"/>
    <w:rsid w:val="6E7E7408"/>
    <w:rsid w:val="72AB2ABD"/>
    <w:rsid w:val="72C2298E"/>
    <w:rsid w:val="760836BA"/>
    <w:rsid w:val="7A8B6668"/>
    <w:rsid w:val="7C1D3C7C"/>
    <w:rsid w:val="7F0528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jc w:val="center"/>
      <w:outlineLvl w:val="0"/>
    </w:pPr>
    <w:rPr>
      <w:b/>
      <w:bCs/>
      <w:kern w:val="44"/>
      <w:sz w:val="28"/>
      <w:szCs w:val="44"/>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3">
    <w:name w:val="Normal Indent"/>
    <w:basedOn w:val="1"/>
    <w:next w:val="1"/>
    <w:link w:val="21"/>
    <w:autoRedefine/>
    <w:qFormat/>
    <w:uiPriority w:val="99"/>
    <w:pPr>
      <w:autoSpaceDE w:val="0"/>
      <w:autoSpaceDN w:val="0"/>
      <w:adjustRightInd w:val="0"/>
      <w:spacing w:line="315" w:lineRule="atLeast"/>
      <w:ind w:firstLine="420"/>
      <w:jc w:val="left"/>
    </w:pPr>
    <w:rPr>
      <w:rFonts w:ascii="楷体_GB2312" w:eastAsia="楷体_GB2312"/>
      <w:kern w:val="0"/>
      <w:sz w:val="28"/>
      <w:szCs w:val="20"/>
    </w:rPr>
  </w:style>
  <w:style w:type="paragraph" w:styleId="4">
    <w:name w:val="Body Text"/>
    <w:basedOn w:val="1"/>
    <w:next w:val="1"/>
    <w:unhideWhenUsed/>
    <w:qFormat/>
    <w:uiPriority w:val="99"/>
    <w:pPr>
      <w:spacing w:after="120"/>
    </w:pPr>
  </w:style>
  <w:style w:type="paragraph" w:styleId="5">
    <w:name w:val="Body Text Indent"/>
    <w:basedOn w:val="1"/>
    <w:next w:val="1"/>
    <w:unhideWhenUsed/>
    <w:qFormat/>
    <w:uiPriority w:val="99"/>
    <w:pPr>
      <w:ind w:firstLine="795"/>
    </w:pPr>
    <w:rPr>
      <w:sz w:val="32"/>
      <w:szCs w:val="32"/>
    </w:rPr>
  </w:style>
  <w:style w:type="paragraph" w:styleId="6">
    <w:name w:val="footer"/>
    <w:basedOn w:val="1"/>
    <w:link w:val="17"/>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6"/>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Body Text 2"/>
    <w:basedOn w:val="1"/>
    <w:autoRedefine/>
    <w:qFormat/>
    <w:uiPriority w:val="0"/>
    <w:pPr>
      <w:spacing w:after="120" w:line="480" w:lineRule="auto"/>
    </w:pPr>
  </w:style>
  <w:style w:type="paragraph" w:styleId="9">
    <w:name w:val="Normal (Web)"/>
    <w:basedOn w:val="1"/>
    <w:autoRedefine/>
    <w:semiHidden/>
    <w:unhideWhenUsed/>
    <w:qFormat/>
    <w:uiPriority w:val="99"/>
    <w:rPr>
      <w:sz w:val="24"/>
    </w:rPr>
  </w:style>
  <w:style w:type="paragraph" w:styleId="10">
    <w:name w:val="Body Text First Indent"/>
    <w:basedOn w:val="4"/>
    <w:unhideWhenUsed/>
    <w:qFormat/>
    <w:uiPriority w:val="99"/>
    <w:pPr>
      <w:ind w:firstLine="420" w:firstLineChars="100"/>
    </w:pPr>
  </w:style>
  <w:style w:type="paragraph" w:styleId="11">
    <w:name w:val="Body Text First Indent 2"/>
    <w:basedOn w:val="5"/>
    <w:next w:val="10"/>
    <w:unhideWhenUsed/>
    <w:qFormat/>
    <w:uiPriority w:val="99"/>
    <w:pPr>
      <w:spacing w:after="120"/>
      <w:ind w:left="420" w:leftChars="200" w:firstLine="420" w:firstLineChars="200"/>
    </w:pPr>
  </w:style>
  <w:style w:type="character" w:styleId="14">
    <w:name w:val="Strong"/>
    <w:basedOn w:val="13"/>
    <w:autoRedefine/>
    <w:qFormat/>
    <w:uiPriority w:val="22"/>
    <w:rPr>
      <w:b/>
    </w:rPr>
  </w:style>
  <w:style w:type="character" w:styleId="15">
    <w:name w:val="Hyperlink"/>
    <w:autoRedefine/>
    <w:qFormat/>
    <w:uiPriority w:val="99"/>
    <w:rPr>
      <w:color w:val="0000FF"/>
      <w:u w:val="single"/>
    </w:rPr>
  </w:style>
  <w:style w:type="character" w:customStyle="1" w:styleId="16">
    <w:name w:val="页眉 Char"/>
    <w:basedOn w:val="13"/>
    <w:link w:val="7"/>
    <w:autoRedefine/>
    <w:qFormat/>
    <w:uiPriority w:val="99"/>
    <w:rPr>
      <w:sz w:val="18"/>
      <w:szCs w:val="18"/>
    </w:rPr>
  </w:style>
  <w:style w:type="character" w:customStyle="1" w:styleId="17">
    <w:name w:val="页脚 Char"/>
    <w:basedOn w:val="13"/>
    <w:link w:val="6"/>
    <w:autoRedefine/>
    <w:qFormat/>
    <w:uiPriority w:val="99"/>
    <w:rPr>
      <w:sz w:val="18"/>
      <w:szCs w:val="18"/>
    </w:rPr>
  </w:style>
  <w:style w:type="paragraph" w:customStyle="1" w:styleId="18">
    <w:name w:val="列出段落1"/>
    <w:basedOn w:val="1"/>
    <w:autoRedefine/>
    <w:unhideWhenUsed/>
    <w:qFormat/>
    <w:uiPriority w:val="34"/>
    <w:pPr>
      <w:ind w:firstLine="420" w:firstLineChars="200"/>
    </w:pPr>
  </w:style>
  <w:style w:type="character" w:customStyle="1" w:styleId="19">
    <w:name w:val="列出段落 Char"/>
    <w:basedOn w:val="13"/>
    <w:link w:val="20"/>
    <w:autoRedefine/>
    <w:qFormat/>
    <w:uiPriority w:val="34"/>
  </w:style>
  <w:style w:type="paragraph" w:styleId="20">
    <w:name w:val="List Paragraph"/>
    <w:basedOn w:val="1"/>
    <w:link w:val="19"/>
    <w:autoRedefine/>
    <w:unhideWhenUsed/>
    <w:qFormat/>
    <w:uiPriority w:val="34"/>
    <w:pPr>
      <w:ind w:firstLine="420" w:firstLineChars="200"/>
    </w:pPr>
  </w:style>
  <w:style w:type="character" w:customStyle="1" w:styleId="21">
    <w:name w:val="正文缩进 Char"/>
    <w:link w:val="3"/>
    <w:autoRedefine/>
    <w:qFormat/>
    <w:uiPriority w:val="99"/>
    <w:rPr>
      <w:rFonts w:ascii="楷体_GB2312" w:hAnsi="Times New Roman" w:eastAsia="楷体_GB2312" w:cs="Times New Roman"/>
      <w:kern w:val="0"/>
      <w:sz w:val="28"/>
      <w:szCs w:val="20"/>
    </w:rPr>
  </w:style>
  <w:style w:type="character" w:customStyle="1" w:styleId="22">
    <w:name w:val="样式1标题2 字符"/>
    <w:basedOn w:val="19"/>
    <w:link w:val="23"/>
    <w:autoRedefine/>
    <w:qFormat/>
    <w:uiPriority w:val="0"/>
    <w:rPr>
      <w:rFonts w:asciiTheme="minorEastAsia" w:hAnsiTheme="minorEastAsia" w:eastAsiaTheme="minorEastAsia"/>
      <w:b/>
      <w:szCs w:val="21"/>
    </w:rPr>
  </w:style>
  <w:style w:type="paragraph" w:customStyle="1" w:styleId="23">
    <w:name w:val="样式1标题2"/>
    <w:basedOn w:val="20"/>
    <w:link w:val="22"/>
    <w:autoRedefine/>
    <w:qFormat/>
    <w:uiPriority w:val="0"/>
    <w:pPr>
      <w:numPr>
        <w:ilvl w:val="0"/>
        <w:numId w:val="1"/>
      </w:numPr>
      <w:adjustRightInd w:val="0"/>
      <w:snapToGrid w:val="0"/>
      <w:spacing w:line="440" w:lineRule="exact"/>
      <w:ind w:firstLine="0" w:firstLineChars="0"/>
    </w:pPr>
    <w:rPr>
      <w:rFonts w:asciiTheme="minorEastAsia" w:hAnsiTheme="minorEastAsia" w:eastAsiaTheme="minorEastAsia"/>
      <w:b/>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3851</Words>
  <Characters>4261</Characters>
  <Lines>16</Lines>
  <Paragraphs>4</Paragraphs>
  <TotalTime>1</TotalTime>
  <ScaleCrop>false</ScaleCrop>
  <LinksUpToDate>false</LinksUpToDate>
  <CharactersWithSpaces>4340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2023-11-02T08:55:00Z</dcterms:created>
  <dc:creator>Windows 用户</dc:creator>
  <cp:lastModifiedBy>76876</cp:lastModifiedBy>
  <dcterms:modified xsi:type="dcterms:W3CDTF">2025-12-12T11:03:02Z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9FBECCE98CB943FD8A1CBF702D1030E1_12</vt:lpwstr>
  </property>
  <property fmtid="{D5CDD505-2E9C-101B-9397-08002B2CF9AE}" pid="4" name="KSOTemplateDocerSaveRecord">
    <vt:lpwstr>eyJoZGlkIjoiZWRmN2NhMDY5MzBmZDkzOTJmODliOTBhMmMzNWJlYzYiLCJ1c2VySWQiOiIxNTEwNTczNjUxIn0=</vt:lpwstr>
  </property>
</Properties>
</file>